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28963342" w:displacedByCustomXml="next"/>
    <w:bookmarkStart w:id="1" w:name="_Toc428963968" w:displacedByCustomXml="next"/>
    <w:bookmarkStart w:id="2" w:name="_Toc428966355" w:displacedByCustomXml="next"/>
    <w:bookmarkStart w:id="3" w:name="_Toc429048067" w:displacedByCustomXml="next"/>
    <w:sdt>
      <w:sdtPr>
        <w:rPr>
          <w:sz w:val="96"/>
          <w:szCs w:val="96"/>
        </w:rPr>
        <w:id w:val="-1724287493"/>
        <w:docPartObj>
          <w:docPartGallery w:val="Cover Pages"/>
          <w:docPartUnique/>
        </w:docPartObj>
      </w:sdtPr>
      <w:sdtContent>
        <w:p w:rsidR="00F4599F" w:rsidRPr="004A1BC6" w:rsidRDefault="00F4599F" w:rsidP="00B5324E">
          <w:pPr>
            <w:spacing w:line="240" w:lineRule="auto"/>
            <w:jc w:val="center"/>
            <w:rPr>
              <w:sz w:val="96"/>
              <w:szCs w:val="96"/>
            </w:rPr>
          </w:pPr>
          <w:r w:rsidRPr="004A1BC6">
            <w:rPr>
              <w:sz w:val="96"/>
              <w:szCs w:val="96"/>
              <w:lang w:val="tr-TR" w:eastAsia="tr-TR"/>
            </w:rPr>
            <mc:AlternateContent>
              <mc:Choice Requires="wps">
                <w:drawing>
                  <wp:anchor distT="0" distB="0" distL="114300" distR="114300" simplePos="0" relativeHeight="251659264" behindDoc="1" locked="0" layoutInCell="1" allowOverlap="1">
                    <wp:simplePos x="0" y="0"/>
                    <wp:positionH relativeFrom="column">
                      <wp:posOffset>-435771</wp:posOffset>
                    </wp:positionH>
                    <wp:positionV relativeFrom="paragraph">
                      <wp:posOffset>-490362</wp:posOffset>
                    </wp:positionV>
                    <wp:extent cx="6852920" cy="7213406"/>
                    <wp:effectExtent l="0" t="0" r="0" b="0"/>
                    <wp:wrapNone/>
                    <wp:docPr id="122" name="Metin Kutusu 122"/>
                    <wp:cNvGraphicFramePr/>
                    <a:graphic xmlns:a="http://schemas.openxmlformats.org/drawingml/2006/main">
                      <a:graphicData uri="http://schemas.microsoft.com/office/word/2010/wordprocessingShape">
                        <wps:wsp>
                          <wps:cNvSpPr txBox="1"/>
                          <wps:spPr>
                            <a:xfrm>
                              <a:off x="0" y="0"/>
                              <a:ext cx="6852920" cy="72134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sz w:val="96"/>
                                    <w:szCs w:val="96"/>
                                  </w:rPr>
                                  <w:alias w:val="Başlık"/>
                                  <w:tag w:val=""/>
                                  <w:id w:val="-1898973169"/>
                                  <w:dataBinding w:prefixMappings="xmlns:ns0='http://purl.org/dc/elements/1.1/' xmlns:ns1='http://schemas.openxmlformats.org/package/2006/metadata/core-properties' " w:xpath="/ns1:coreProperties[1]/ns0:title[1]" w:storeItemID="{6C3C8BC8-F283-45AE-878A-BAB7291924A1}"/>
                                  <w:text/>
                                </w:sdtPr>
                                <w:sdtContent>
                                  <w:p w:rsidR="008C28A7" w:rsidRPr="00F4599F" w:rsidRDefault="008C28A7" w:rsidP="00F4599F">
                                    <w:pPr>
                                      <w:pStyle w:val="AralkYok"/>
                                      <w:pBdr>
                                        <w:bottom w:val="single" w:sz="6" w:space="4" w:color="7F7F7F" w:themeColor="text1" w:themeTint="80"/>
                                      </w:pBdr>
                                      <w:jc w:val="center"/>
                                      <w:rPr>
                                        <w:rFonts w:eastAsiaTheme="majorEastAsia" w:cstheme="majorBidi"/>
                                        <w:sz w:val="96"/>
                                        <w:szCs w:val="96"/>
                                      </w:rPr>
                                    </w:pPr>
                                    <w:r w:rsidRPr="00F4599F">
                                      <w:rPr>
                                        <w:rFonts w:eastAsiaTheme="majorEastAsia" w:cstheme="majorBidi"/>
                                        <w:sz w:val="96"/>
                                        <w:szCs w:val="96"/>
                                      </w:rPr>
                                      <w:t>ENERGY MARKET REGULATORY AUTHORITY</w:t>
                                    </w:r>
                                  </w:p>
                                </w:sdtContent>
                              </w:sdt>
                              <w:sdt>
                                <w:sdtPr>
                                  <w:rPr>
                                    <w:caps/>
                                    <w:sz w:val="96"/>
                                    <w:szCs w:val="96"/>
                                  </w:rPr>
                                  <w:alias w:val="Altyazı"/>
                                  <w:tag w:val=""/>
                                  <w:id w:val="-847406244"/>
                                  <w:dataBinding w:prefixMappings="xmlns:ns0='http://purl.org/dc/elements/1.1/' xmlns:ns1='http://schemas.openxmlformats.org/package/2006/metadata/core-properties' " w:xpath="/ns1:coreProperties[1]/ns0:subject[1]" w:storeItemID="{6C3C8BC8-F283-45AE-878A-BAB7291924A1}"/>
                                  <w:text/>
                                </w:sdtPr>
                                <w:sdtContent>
                                  <w:p w:rsidR="008C28A7" w:rsidRPr="00F4599F" w:rsidRDefault="008C28A7" w:rsidP="00F4599F">
                                    <w:pPr>
                                      <w:pStyle w:val="AralkYok"/>
                                      <w:spacing w:before="240"/>
                                      <w:jc w:val="center"/>
                                      <w:rPr>
                                        <w:caps/>
                                        <w:sz w:val="96"/>
                                        <w:szCs w:val="96"/>
                                      </w:rPr>
                                    </w:pPr>
                                    <w:r w:rsidRPr="00F4599F">
                                      <w:rPr>
                                        <w:caps/>
                                        <w:sz w:val="96"/>
                                        <w:szCs w:val="96"/>
                                      </w:rPr>
                                      <w:t>2018 ACTIVITY 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etin Kutusu 122" o:spid="_x0000_s1026" type="#_x0000_t202" style="position:absolute;left:0;text-align:left;margin-left:-34.3pt;margin-top:-38.6pt;width:539.6pt;height:568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" filled="f" stroked="f" strokeweight=".5pt">
                    <v:textbox inset="36pt,36pt,36pt,36pt">
                      <w:txbxContent>
                        <w:sdt>
                          <w:sdtPr>
                            <w:rPr>
                              <w:rFonts w:eastAsiaTheme="majorEastAsia" w:cstheme="majorBidi"/>
                              <w:sz w:val="96"/>
                              <w:szCs w:val="96"/>
                            </w:rPr>
                            <w:alias w:val="Başlık"/>
                            <w:tag w:val=""/>
                            <w:id w:val="-1898973169"/>
                            <w:dataBinding w:prefixMappings="xmlns:ns0='http://purl.org/dc/elements/1.1/' xmlns:ns1='http://schemas.openxmlformats.org/package/2006/metadata/core-properties' " w:xpath="/ns1:coreProperties[1]/ns0:title[1]" w:storeItemID="{6C3C8BC8-F283-45AE-878A-BAB7291924A1}"/>
                            <w:text/>
                          </w:sdtPr>
                          <w:sdtContent>
                            <w:p w:rsidR="008C28A7" w:rsidRPr="00F4599F" w:rsidRDefault="008C28A7" w:rsidP="00F4599F">
                              <w:pPr>
                                <w:pStyle w:val="AralkYok"/>
                                <w:pBdr>
                                  <w:bottom w:val="single" w:sz="6" w:space="4" w:color="7F7F7F" w:themeColor="text1" w:themeTint="80"/>
                                </w:pBdr>
                                <w:jc w:val="center"/>
                                <w:rPr>
                                  <w:rFonts w:eastAsiaTheme="majorEastAsia" w:cstheme="majorBidi"/>
                                  <w:sz w:val="96"/>
                                  <w:szCs w:val="96"/>
                                </w:rPr>
                              </w:pPr>
                              <w:r w:rsidRPr="00F4599F">
                                <w:rPr>
                                  <w:rFonts w:eastAsiaTheme="majorEastAsia" w:cstheme="majorBidi"/>
                                  <w:sz w:val="96"/>
                                  <w:szCs w:val="96"/>
                                </w:rPr>
                                <w:t>ENERGY MARKET REGULATORY AUTHORITY</w:t>
                              </w:r>
                            </w:p>
                          </w:sdtContent>
                        </w:sdt>
                        <w:sdt>
                          <w:sdtPr>
                            <w:rPr>
                              <w:caps/>
                              <w:sz w:val="96"/>
                              <w:szCs w:val="96"/>
                            </w:rPr>
                            <w:alias w:val="Altyazı"/>
                            <w:tag w:val=""/>
                            <w:id w:val="-847406244"/>
                            <w:dataBinding w:prefixMappings="xmlns:ns0='http://purl.org/dc/elements/1.1/' xmlns:ns1='http://schemas.openxmlformats.org/package/2006/metadata/core-properties' " w:xpath="/ns1:coreProperties[1]/ns0:subject[1]" w:storeItemID="{6C3C8BC8-F283-45AE-878A-BAB7291924A1}"/>
                            <w:text/>
                          </w:sdtPr>
                          <w:sdtContent>
                            <w:p w:rsidR="008C28A7" w:rsidRPr="00F4599F" w:rsidRDefault="008C28A7" w:rsidP="00F4599F">
                              <w:pPr>
                                <w:pStyle w:val="AralkYok"/>
                                <w:spacing w:before="240"/>
                                <w:jc w:val="center"/>
                                <w:rPr>
                                  <w:caps/>
                                  <w:sz w:val="96"/>
                                  <w:szCs w:val="96"/>
                                </w:rPr>
                              </w:pPr>
                              <w:r w:rsidRPr="00F4599F">
                                <w:rPr>
                                  <w:caps/>
                                  <w:sz w:val="96"/>
                                  <w:szCs w:val="96"/>
                                </w:rPr>
                                <w:t>2018 ACTIVITY REPORT</w:t>
                              </w:r>
                            </w:p>
                          </w:sdtContent>
                        </w:sdt>
                      </w:txbxContent>
                    </v:textbox>
                  </v:shape>
                </w:pict>
              </mc:Fallback>
            </mc:AlternateContent>
          </w:r>
        </w:p>
        <w:p w:rsidR="00F4599F" w:rsidRPr="004A1BC6" w:rsidRDefault="00F4599F" w:rsidP="00B5324E">
          <w:pPr>
            <w:spacing w:line="240" w:lineRule="auto"/>
            <w:jc w:val="center"/>
            <w:rPr>
              <w:sz w:val="96"/>
              <w:szCs w:val="96"/>
            </w:rPr>
          </w:pPr>
          <w:r w:rsidRPr="004A1BC6">
            <w:rPr>
              <w:sz w:val="96"/>
              <w:szCs w:val="96"/>
            </w:rPr>
            <w:br w:type="page"/>
          </w:r>
        </w:p>
      </w:sdtContent>
    </w:sdt>
    <w:sdt>
      <w:sdtPr>
        <w:rPr>
          <w:rFonts w:eastAsiaTheme="minorHAnsi" w:cstheme="minorBidi"/>
          <w:b w:val="0"/>
          <w:sz w:val="22"/>
          <w:szCs w:val="22"/>
          <w:lang w:val="tr-TR"/>
        </w:rPr>
        <w:id w:val="-2108876794"/>
        <w:docPartObj>
          <w:docPartGallery w:val="Table of Contents"/>
          <w:docPartUnique/>
        </w:docPartObj>
      </w:sdtPr>
      <w:sdtEndPr>
        <w:rPr>
          <w:bCs/>
          <w:lang w:val="en-US"/>
        </w:rPr>
      </w:sdtEndPr>
      <w:sdtContent>
        <w:p w:rsidR="00D03F3E" w:rsidRDefault="00D03F3E" w:rsidP="00D03F3E">
          <w:pPr>
            <w:pStyle w:val="TBal"/>
            <w:jc w:val="center"/>
            <w:rPr>
              <w:rFonts w:ascii="Times New Roman" w:hAnsi="Times New Roman" w:cs="Times New Roman"/>
            </w:rPr>
          </w:pPr>
          <w:r>
            <w:rPr>
              <w:rFonts w:ascii="Times New Roman" w:hAnsi="Times New Roman" w:cs="Times New Roman"/>
            </w:rPr>
            <w:t>TABLE OF CONTENTS</w:t>
          </w:r>
        </w:p>
        <w:p w:rsidR="00D816E6" w:rsidRDefault="00D816E6">
          <w:pPr>
            <w:pStyle w:val="TBal"/>
          </w:pPr>
        </w:p>
        <w:p w:rsidR="00255B94" w:rsidRDefault="00D816E6">
          <w:pPr>
            <w:pStyle w:val="T1"/>
            <w:tabs>
              <w:tab w:val="left" w:pos="440"/>
              <w:tab w:val="right" w:leader="dot" w:pos="9396"/>
            </w:tabs>
            <w:rPr>
              <w:rFonts w:eastAsiaTheme="minorEastAsia"/>
              <w:lang w:val="tr-TR" w:eastAsia="tr-TR"/>
            </w:rPr>
          </w:pPr>
          <w:r>
            <w:fldChar w:fldCharType="begin"/>
          </w:r>
          <w:r>
            <w:instrText xml:space="preserve"> TOC \o "1-3" \h \z \u </w:instrText>
          </w:r>
          <w:r>
            <w:fldChar w:fldCharType="separate"/>
          </w:r>
          <w:hyperlink w:anchor="_Toc12956287" w:history="1">
            <w:r w:rsidR="00255B94" w:rsidRPr="00823036">
              <w:rPr>
                <w:rStyle w:val="Kpr"/>
              </w:rPr>
              <w:t>1.</w:t>
            </w:r>
            <w:r w:rsidR="00255B94">
              <w:rPr>
                <w:rFonts w:eastAsiaTheme="minorEastAsia"/>
                <w:lang w:val="tr-TR" w:eastAsia="tr-TR"/>
              </w:rPr>
              <w:tab/>
            </w:r>
            <w:r w:rsidR="00255B94" w:rsidRPr="00823036">
              <w:rPr>
                <w:rStyle w:val="Kpr"/>
              </w:rPr>
              <w:t>ENERGY MARKET REGULATORY AUTHORITY</w:t>
            </w:r>
            <w:r w:rsidR="00255B94">
              <w:rPr>
                <w:webHidden/>
              </w:rPr>
              <w:tab/>
            </w:r>
            <w:r w:rsidR="00255B94">
              <w:rPr>
                <w:webHidden/>
              </w:rPr>
              <w:fldChar w:fldCharType="begin"/>
            </w:r>
            <w:r w:rsidR="00255B94">
              <w:rPr>
                <w:webHidden/>
              </w:rPr>
              <w:instrText xml:space="preserve"> PAGEREF _Toc12956287 \h </w:instrText>
            </w:r>
            <w:r w:rsidR="00255B94">
              <w:rPr>
                <w:webHidden/>
              </w:rPr>
            </w:r>
            <w:r w:rsidR="00255B94">
              <w:rPr>
                <w:webHidden/>
              </w:rPr>
              <w:fldChar w:fldCharType="separate"/>
            </w:r>
            <w:r w:rsidR="00255B94">
              <w:rPr>
                <w:webHidden/>
              </w:rPr>
              <w:t>8</w:t>
            </w:r>
            <w:r w:rsidR="00255B94">
              <w:rPr>
                <w:webHidden/>
              </w:rPr>
              <w:fldChar w:fldCharType="end"/>
            </w:r>
          </w:hyperlink>
        </w:p>
        <w:p w:rsidR="00255B94" w:rsidRDefault="008C28A7">
          <w:pPr>
            <w:pStyle w:val="T2"/>
            <w:tabs>
              <w:tab w:val="left" w:pos="880"/>
              <w:tab w:val="right" w:leader="dot" w:pos="9396"/>
            </w:tabs>
            <w:rPr>
              <w:rFonts w:eastAsiaTheme="minorEastAsia"/>
              <w:lang w:val="tr-TR" w:eastAsia="tr-TR"/>
            </w:rPr>
          </w:pPr>
          <w:hyperlink w:anchor="_Toc12956288" w:history="1">
            <w:r w:rsidR="00255B94" w:rsidRPr="00823036">
              <w:rPr>
                <w:rStyle w:val="Kpr"/>
              </w:rPr>
              <w:t>1.1.</w:t>
            </w:r>
            <w:r w:rsidR="00255B94">
              <w:rPr>
                <w:rFonts w:eastAsiaTheme="minorEastAsia"/>
                <w:lang w:val="tr-TR" w:eastAsia="tr-TR"/>
              </w:rPr>
              <w:tab/>
            </w:r>
            <w:r w:rsidR="00255B94" w:rsidRPr="00823036">
              <w:rPr>
                <w:rStyle w:val="Kpr"/>
              </w:rPr>
              <w:t>Duties, Authorities and Responsibilities of the Authority</w:t>
            </w:r>
            <w:r w:rsidR="00255B94">
              <w:rPr>
                <w:webHidden/>
              </w:rPr>
              <w:tab/>
            </w:r>
            <w:r w:rsidR="00255B94">
              <w:rPr>
                <w:webHidden/>
              </w:rPr>
              <w:fldChar w:fldCharType="begin"/>
            </w:r>
            <w:r w:rsidR="00255B94">
              <w:rPr>
                <w:webHidden/>
              </w:rPr>
              <w:instrText xml:space="preserve"> PAGEREF _Toc12956288 \h </w:instrText>
            </w:r>
            <w:r w:rsidR="00255B94">
              <w:rPr>
                <w:webHidden/>
              </w:rPr>
            </w:r>
            <w:r w:rsidR="00255B94">
              <w:rPr>
                <w:webHidden/>
              </w:rPr>
              <w:fldChar w:fldCharType="separate"/>
            </w:r>
            <w:r w:rsidR="00255B94">
              <w:rPr>
                <w:webHidden/>
              </w:rPr>
              <w:t>8</w:t>
            </w:r>
            <w:r w:rsidR="00255B94">
              <w:rPr>
                <w:webHidden/>
              </w:rPr>
              <w:fldChar w:fldCharType="end"/>
            </w:r>
          </w:hyperlink>
        </w:p>
        <w:p w:rsidR="00255B94" w:rsidRDefault="008C28A7">
          <w:pPr>
            <w:pStyle w:val="T2"/>
            <w:tabs>
              <w:tab w:val="left" w:pos="880"/>
              <w:tab w:val="right" w:leader="dot" w:pos="9396"/>
            </w:tabs>
            <w:rPr>
              <w:rFonts w:eastAsiaTheme="minorEastAsia"/>
              <w:lang w:val="tr-TR" w:eastAsia="tr-TR"/>
            </w:rPr>
          </w:pPr>
          <w:hyperlink w:anchor="_Toc12956289" w:history="1">
            <w:r w:rsidR="00255B94" w:rsidRPr="00823036">
              <w:rPr>
                <w:rStyle w:val="Kpr"/>
              </w:rPr>
              <w:t>1.2.</w:t>
            </w:r>
            <w:r w:rsidR="00255B94">
              <w:rPr>
                <w:rFonts w:eastAsiaTheme="minorEastAsia"/>
                <w:lang w:val="tr-TR" w:eastAsia="tr-TR"/>
              </w:rPr>
              <w:tab/>
            </w:r>
            <w:r w:rsidR="00255B94" w:rsidRPr="00823036">
              <w:rPr>
                <w:rStyle w:val="Kpr"/>
              </w:rPr>
              <w:t>Structure and Authority</w:t>
            </w:r>
            <w:r w:rsidR="00255B94">
              <w:rPr>
                <w:webHidden/>
              </w:rPr>
              <w:tab/>
            </w:r>
            <w:r w:rsidR="00255B94">
              <w:rPr>
                <w:webHidden/>
              </w:rPr>
              <w:fldChar w:fldCharType="begin"/>
            </w:r>
            <w:r w:rsidR="00255B94">
              <w:rPr>
                <w:webHidden/>
              </w:rPr>
              <w:instrText xml:space="preserve"> PAGEREF _Toc12956289 \h </w:instrText>
            </w:r>
            <w:r w:rsidR="00255B94">
              <w:rPr>
                <w:webHidden/>
              </w:rPr>
            </w:r>
            <w:r w:rsidR="00255B94">
              <w:rPr>
                <w:webHidden/>
              </w:rPr>
              <w:fldChar w:fldCharType="separate"/>
            </w:r>
            <w:r w:rsidR="00255B94">
              <w:rPr>
                <w:webHidden/>
              </w:rPr>
              <w:t>9</w:t>
            </w:r>
            <w:r w:rsidR="00255B94">
              <w:rPr>
                <w:webHidden/>
              </w:rPr>
              <w:fldChar w:fldCharType="end"/>
            </w:r>
          </w:hyperlink>
        </w:p>
        <w:p w:rsidR="00255B94" w:rsidRDefault="008C28A7">
          <w:pPr>
            <w:pStyle w:val="T3"/>
            <w:tabs>
              <w:tab w:val="left" w:pos="1320"/>
              <w:tab w:val="right" w:leader="dot" w:pos="9396"/>
            </w:tabs>
            <w:rPr>
              <w:rFonts w:eastAsiaTheme="minorEastAsia"/>
              <w:lang w:val="tr-TR" w:eastAsia="tr-TR"/>
            </w:rPr>
          </w:pPr>
          <w:hyperlink w:anchor="_Toc12956290" w:history="1">
            <w:r w:rsidR="00255B94" w:rsidRPr="00823036">
              <w:rPr>
                <w:rStyle w:val="Kpr"/>
              </w:rPr>
              <w:t>1.2.1.</w:t>
            </w:r>
            <w:r w:rsidR="00255B94">
              <w:rPr>
                <w:rFonts w:eastAsiaTheme="minorEastAsia"/>
                <w:lang w:val="tr-TR" w:eastAsia="tr-TR"/>
              </w:rPr>
              <w:tab/>
            </w:r>
            <w:r w:rsidR="00255B94" w:rsidRPr="00823036">
              <w:rPr>
                <w:rStyle w:val="Kpr"/>
              </w:rPr>
              <w:t>Energy Market Regulatory Board</w:t>
            </w:r>
            <w:r w:rsidR="00255B94">
              <w:rPr>
                <w:webHidden/>
              </w:rPr>
              <w:tab/>
            </w:r>
            <w:r w:rsidR="00255B94">
              <w:rPr>
                <w:webHidden/>
              </w:rPr>
              <w:fldChar w:fldCharType="begin"/>
            </w:r>
            <w:r w:rsidR="00255B94">
              <w:rPr>
                <w:webHidden/>
              </w:rPr>
              <w:instrText xml:space="preserve"> PAGEREF _Toc12956290 \h </w:instrText>
            </w:r>
            <w:r w:rsidR="00255B94">
              <w:rPr>
                <w:webHidden/>
              </w:rPr>
            </w:r>
            <w:r w:rsidR="00255B94">
              <w:rPr>
                <w:webHidden/>
              </w:rPr>
              <w:fldChar w:fldCharType="separate"/>
            </w:r>
            <w:r w:rsidR="00255B94">
              <w:rPr>
                <w:webHidden/>
              </w:rPr>
              <w:t>9</w:t>
            </w:r>
            <w:r w:rsidR="00255B94">
              <w:rPr>
                <w:webHidden/>
              </w:rPr>
              <w:fldChar w:fldCharType="end"/>
            </w:r>
          </w:hyperlink>
        </w:p>
        <w:p w:rsidR="00255B94" w:rsidRDefault="008C28A7">
          <w:pPr>
            <w:pStyle w:val="T3"/>
            <w:tabs>
              <w:tab w:val="left" w:pos="1320"/>
              <w:tab w:val="right" w:leader="dot" w:pos="9396"/>
            </w:tabs>
            <w:rPr>
              <w:rFonts w:eastAsiaTheme="minorEastAsia"/>
              <w:lang w:val="tr-TR" w:eastAsia="tr-TR"/>
            </w:rPr>
          </w:pPr>
          <w:hyperlink w:anchor="_Toc12956291" w:history="1">
            <w:r w:rsidR="00255B94" w:rsidRPr="00823036">
              <w:rPr>
                <w:rStyle w:val="Kpr"/>
              </w:rPr>
              <w:t>1.2.2.</w:t>
            </w:r>
            <w:r w:rsidR="00255B94">
              <w:rPr>
                <w:rFonts w:eastAsiaTheme="minorEastAsia"/>
                <w:lang w:val="tr-TR" w:eastAsia="tr-TR"/>
              </w:rPr>
              <w:tab/>
            </w:r>
            <w:r w:rsidR="00255B94" w:rsidRPr="00823036">
              <w:rPr>
                <w:rStyle w:val="Kpr"/>
              </w:rPr>
              <w:t>The Presidency</w:t>
            </w:r>
            <w:r w:rsidR="00255B94">
              <w:rPr>
                <w:webHidden/>
              </w:rPr>
              <w:tab/>
            </w:r>
            <w:r w:rsidR="00255B94">
              <w:rPr>
                <w:webHidden/>
              </w:rPr>
              <w:fldChar w:fldCharType="begin"/>
            </w:r>
            <w:r w:rsidR="00255B94">
              <w:rPr>
                <w:webHidden/>
              </w:rPr>
              <w:instrText xml:space="preserve"> PAGEREF _Toc12956291 \h </w:instrText>
            </w:r>
            <w:r w:rsidR="00255B94">
              <w:rPr>
                <w:webHidden/>
              </w:rPr>
            </w:r>
            <w:r w:rsidR="00255B94">
              <w:rPr>
                <w:webHidden/>
              </w:rPr>
              <w:fldChar w:fldCharType="separate"/>
            </w:r>
            <w:r w:rsidR="00255B94">
              <w:rPr>
                <w:webHidden/>
              </w:rPr>
              <w:t>12</w:t>
            </w:r>
            <w:r w:rsidR="00255B94">
              <w:rPr>
                <w:webHidden/>
              </w:rPr>
              <w:fldChar w:fldCharType="end"/>
            </w:r>
          </w:hyperlink>
        </w:p>
        <w:p w:rsidR="00255B94" w:rsidRDefault="008C28A7">
          <w:pPr>
            <w:pStyle w:val="T3"/>
            <w:tabs>
              <w:tab w:val="left" w:pos="1320"/>
              <w:tab w:val="right" w:leader="dot" w:pos="9396"/>
            </w:tabs>
            <w:rPr>
              <w:rFonts w:eastAsiaTheme="minorEastAsia"/>
              <w:lang w:val="tr-TR" w:eastAsia="tr-TR"/>
            </w:rPr>
          </w:pPr>
          <w:hyperlink w:anchor="_Toc12956292" w:history="1">
            <w:r w:rsidR="00255B94" w:rsidRPr="00823036">
              <w:rPr>
                <w:rStyle w:val="Kpr"/>
              </w:rPr>
              <w:t>1.2.3.</w:t>
            </w:r>
            <w:r w:rsidR="00255B94">
              <w:rPr>
                <w:rFonts w:eastAsiaTheme="minorEastAsia"/>
                <w:lang w:val="tr-TR" w:eastAsia="tr-TR"/>
              </w:rPr>
              <w:tab/>
            </w:r>
            <w:r w:rsidR="00255B94" w:rsidRPr="00823036">
              <w:rPr>
                <w:rStyle w:val="Kpr"/>
              </w:rPr>
              <w:t>Service Units</w:t>
            </w:r>
            <w:r w:rsidR="00255B94">
              <w:rPr>
                <w:webHidden/>
              </w:rPr>
              <w:tab/>
            </w:r>
            <w:r w:rsidR="00255B94">
              <w:rPr>
                <w:webHidden/>
              </w:rPr>
              <w:fldChar w:fldCharType="begin"/>
            </w:r>
            <w:r w:rsidR="00255B94">
              <w:rPr>
                <w:webHidden/>
              </w:rPr>
              <w:instrText xml:space="preserve"> PAGEREF _Toc12956292 \h </w:instrText>
            </w:r>
            <w:r w:rsidR="00255B94">
              <w:rPr>
                <w:webHidden/>
              </w:rPr>
            </w:r>
            <w:r w:rsidR="00255B94">
              <w:rPr>
                <w:webHidden/>
              </w:rPr>
              <w:fldChar w:fldCharType="separate"/>
            </w:r>
            <w:r w:rsidR="00255B94">
              <w:rPr>
                <w:webHidden/>
              </w:rPr>
              <w:t>12</w:t>
            </w:r>
            <w:r w:rsidR="00255B94">
              <w:rPr>
                <w:webHidden/>
              </w:rPr>
              <w:fldChar w:fldCharType="end"/>
            </w:r>
          </w:hyperlink>
        </w:p>
        <w:p w:rsidR="00255B94" w:rsidRDefault="008C28A7">
          <w:pPr>
            <w:pStyle w:val="T2"/>
            <w:tabs>
              <w:tab w:val="left" w:pos="880"/>
              <w:tab w:val="right" w:leader="dot" w:pos="9396"/>
            </w:tabs>
            <w:rPr>
              <w:rFonts w:eastAsiaTheme="minorEastAsia"/>
              <w:lang w:val="tr-TR" w:eastAsia="tr-TR"/>
            </w:rPr>
          </w:pPr>
          <w:hyperlink w:anchor="_Toc12956293" w:history="1">
            <w:r w:rsidR="00255B94" w:rsidRPr="00823036">
              <w:rPr>
                <w:rStyle w:val="Kpr"/>
              </w:rPr>
              <w:t>1.3.</w:t>
            </w:r>
            <w:r w:rsidR="00255B94">
              <w:rPr>
                <w:rFonts w:eastAsiaTheme="minorEastAsia"/>
                <w:lang w:val="tr-TR" w:eastAsia="tr-TR"/>
              </w:rPr>
              <w:tab/>
            </w:r>
            <w:r w:rsidR="00255B94" w:rsidRPr="00823036">
              <w:rPr>
                <w:rStyle w:val="Kpr"/>
              </w:rPr>
              <w:t>Auditing of the Activities of the Authority</w:t>
            </w:r>
            <w:r w:rsidR="00255B94">
              <w:rPr>
                <w:webHidden/>
              </w:rPr>
              <w:tab/>
            </w:r>
            <w:r w:rsidR="00255B94">
              <w:rPr>
                <w:webHidden/>
              </w:rPr>
              <w:fldChar w:fldCharType="begin"/>
            </w:r>
            <w:r w:rsidR="00255B94">
              <w:rPr>
                <w:webHidden/>
              </w:rPr>
              <w:instrText xml:space="preserve"> PAGEREF _Toc12956293 \h </w:instrText>
            </w:r>
            <w:r w:rsidR="00255B94">
              <w:rPr>
                <w:webHidden/>
              </w:rPr>
            </w:r>
            <w:r w:rsidR="00255B94">
              <w:rPr>
                <w:webHidden/>
              </w:rPr>
              <w:fldChar w:fldCharType="separate"/>
            </w:r>
            <w:r w:rsidR="00255B94">
              <w:rPr>
                <w:webHidden/>
              </w:rPr>
              <w:t>0</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294" w:history="1">
            <w:r w:rsidR="00255B94" w:rsidRPr="00823036">
              <w:rPr>
                <w:rStyle w:val="Kpr"/>
              </w:rPr>
              <w:t>2. LEGISLATION ACTIVITIES</w:t>
            </w:r>
            <w:r w:rsidR="00255B94">
              <w:rPr>
                <w:webHidden/>
              </w:rPr>
              <w:tab/>
            </w:r>
            <w:r w:rsidR="00255B94">
              <w:rPr>
                <w:webHidden/>
              </w:rPr>
              <w:fldChar w:fldCharType="begin"/>
            </w:r>
            <w:r w:rsidR="00255B94">
              <w:rPr>
                <w:webHidden/>
              </w:rPr>
              <w:instrText xml:space="preserve"> PAGEREF _Toc12956294 \h </w:instrText>
            </w:r>
            <w:r w:rsidR="00255B94">
              <w:rPr>
                <w:webHidden/>
              </w:rPr>
            </w:r>
            <w:r w:rsidR="00255B94">
              <w:rPr>
                <w:webHidden/>
              </w:rPr>
              <w:fldChar w:fldCharType="separate"/>
            </w:r>
            <w:r w:rsidR="00255B94">
              <w:rPr>
                <w:webHidden/>
              </w:rPr>
              <w:t>1</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295" w:history="1">
            <w:r w:rsidR="00255B94" w:rsidRPr="00823036">
              <w:rPr>
                <w:rStyle w:val="Kpr"/>
              </w:rPr>
              <w:t>2.1. Electricity Market Legislation</w:t>
            </w:r>
            <w:r w:rsidR="00255B94">
              <w:rPr>
                <w:webHidden/>
              </w:rPr>
              <w:tab/>
            </w:r>
            <w:r w:rsidR="00255B94">
              <w:rPr>
                <w:webHidden/>
              </w:rPr>
              <w:fldChar w:fldCharType="begin"/>
            </w:r>
            <w:r w:rsidR="00255B94">
              <w:rPr>
                <w:webHidden/>
              </w:rPr>
              <w:instrText xml:space="preserve"> PAGEREF _Toc12956295 \h </w:instrText>
            </w:r>
            <w:r w:rsidR="00255B94">
              <w:rPr>
                <w:webHidden/>
              </w:rPr>
            </w:r>
            <w:r w:rsidR="00255B94">
              <w:rPr>
                <w:webHidden/>
              </w:rPr>
              <w:fldChar w:fldCharType="separate"/>
            </w:r>
            <w:r w:rsidR="00255B94">
              <w:rPr>
                <w:webHidden/>
              </w:rPr>
              <w:t>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296" w:history="1">
            <w:r w:rsidR="00255B94" w:rsidRPr="00823036">
              <w:rPr>
                <w:rStyle w:val="Kpr"/>
              </w:rPr>
              <w:t>2.1.1. Law</w:t>
            </w:r>
            <w:r w:rsidR="00255B94">
              <w:rPr>
                <w:webHidden/>
              </w:rPr>
              <w:tab/>
            </w:r>
            <w:r w:rsidR="00255B94">
              <w:rPr>
                <w:webHidden/>
              </w:rPr>
              <w:fldChar w:fldCharType="begin"/>
            </w:r>
            <w:r w:rsidR="00255B94">
              <w:rPr>
                <w:webHidden/>
              </w:rPr>
              <w:instrText xml:space="preserve"> PAGEREF _Toc12956296 \h </w:instrText>
            </w:r>
            <w:r w:rsidR="00255B94">
              <w:rPr>
                <w:webHidden/>
              </w:rPr>
            </w:r>
            <w:r w:rsidR="00255B94">
              <w:rPr>
                <w:webHidden/>
              </w:rPr>
              <w:fldChar w:fldCharType="separate"/>
            </w:r>
            <w:r w:rsidR="00255B94">
              <w:rPr>
                <w:webHidden/>
              </w:rPr>
              <w:t>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297" w:history="1">
            <w:r w:rsidR="00255B94" w:rsidRPr="00823036">
              <w:rPr>
                <w:rStyle w:val="Kpr"/>
              </w:rPr>
              <w:t>2.1.2. Regulations</w:t>
            </w:r>
            <w:r w:rsidR="00255B94">
              <w:rPr>
                <w:webHidden/>
              </w:rPr>
              <w:tab/>
            </w:r>
            <w:r w:rsidR="00255B94">
              <w:rPr>
                <w:webHidden/>
              </w:rPr>
              <w:fldChar w:fldCharType="begin"/>
            </w:r>
            <w:r w:rsidR="00255B94">
              <w:rPr>
                <w:webHidden/>
              </w:rPr>
              <w:instrText xml:space="preserve"> PAGEREF _Toc12956297 \h </w:instrText>
            </w:r>
            <w:r w:rsidR="00255B94">
              <w:rPr>
                <w:webHidden/>
              </w:rPr>
            </w:r>
            <w:r w:rsidR="00255B94">
              <w:rPr>
                <w:webHidden/>
              </w:rPr>
              <w:fldChar w:fldCharType="separate"/>
            </w:r>
            <w:r w:rsidR="00255B94">
              <w:rPr>
                <w:webHidden/>
              </w:rPr>
              <w:t>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298" w:history="1">
            <w:r w:rsidR="00255B94" w:rsidRPr="00823036">
              <w:rPr>
                <w:rStyle w:val="Kpr"/>
              </w:rPr>
              <w:t>2.1.3. Communiqués</w:t>
            </w:r>
            <w:r w:rsidR="00255B94">
              <w:rPr>
                <w:webHidden/>
              </w:rPr>
              <w:tab/>
            </w:r>
            <w:r w:rsidR="00255B94">
              <w:rPr>
                <w:webHidden/>
              </w:rPr>
              <w:fldChar w:fldCharType="begin"/>
            </w:r>
            <w:r w:rsidR="00255B94">
              <w:rPr>
                <w:webHidden/>
              </w:rPr>
              <w:instrText xml:space="preserve"> PAGEREF _Toc12956298 \h </w:instrText>
            </w:r>
            <w:r w:rsidR="00255B94">
              <w:rPr>
                <w:webHidden/>
              </w:rPr>
            </w:r>
            <w:r w:rsidR="00255B94">
              <w:rPr>
                <w:webHidden/>
              </w:rPr>
              <w:fldChar w:fldCharType="separate"/>
            </w:r>
            <w:r w:rsidR="00255B94">
              <w:rPr>
                <w:webHidden/>
              </w:rPr>
              <w:t>6</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299" w:history="1">
            <w:r w:rsidR="00255B94" w:rsidRPr="00823036">
              <w:rPr>
                <w:rStyle w:val="Kpr"/>
              </w:rPr>
              <w:t>2.1.4 Board Decisions</w:t>
            </w:r>
            <w:r w:rsidR="00255B94">
              <w:rPr>
                <w:webHidden/>
              </w:rPr>
              <w:tab/>
            </w:r>
            <w:r w:rsidR="00255B94">
              <w:rPr>
                <w:webHidden/>
              </w:rPr>
              <w:fldChar w:fldCharType="begin"/>
            </w:r>
            <w:r w:rsidR="00255B94">
              <w:rPr>
                <w:webHidden/>
              </w:rPr>
              <w:instrText xml:space="preserve"> PAGEREF _Toc12956299 \h </w:instrText>
            </w:r>
            <w:r w:rsidR="00255B94">
              <w:rPr>
                <w:webHidden/>
              </w:rPr>
            </w:r>
            <w:r w:rsidR="00255B94">
              <w:rPr>
                <w:webHidden/>
              </w:rPr>
              <w:fldChar w:fldCharType="separate"/>
            </w:r>
            <w:r w:rsidR="00255B94">
              <w:rPr>
                <w:webHidden/>
              </w:rPr>
              <w:t>7</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00" w:history="1">
            <w:r w:rsidR="00255B94" w:rsidRPr="00823036">
              <w:rPr>
                <w:rStyle w:val="Kpr"/>
              </w:rPr>
              <w:t>2.2.Natural Gas Market Legislation</w:t>
            </w:r>
            <w:r w:rsidR="00255B94">
              <w:rPr>
                <w:webHidden/>
              </w:rPr>
              <w:tab/>
            </w:r>
            <w:r w:rsidR="00255B94">
              <w:rPr>
                <w:webHidden/>
              </w:rPr>
              <w:fldChar w:fldCharType="begin"/>
            </w:r>
            <w:r w:rsidR="00255B94">
              <w:rPr>
                <w:webHidden/>
              </w:rPr>
              <w:instrText xml:space="preserve"> PAGEREF _Toc12956300 \h </w:instrText>
            </w:r>
            <w:r w:rsidR="00255B94">
              <w:rPr>
                <w:webHidden/>
              </w:rPr>
            </w:r>
            <w:r w:rsidR="00255B94">
              <w:rPr>
                <w:webHidden/>
              </w:rPr>
              <w:fldChar w:fldCharType="separate"/>
            </w:r>
            <w:r w:rsidR="00255B94">
              <w:rPr>
                <w:webHidden/>
              </w:rPr>
              <w:t>8</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01" w:history="1">
            <w:r w:rsidR="00255B94" w:rsidRPr="00823036">
              <w:rPr>
                <w:rStyle w:val="Kpr"/>
              </w:rPr>
              <w:t>2.2.1.Law</w:t>
            </w:r>
            <w:r w:rsidR="00255B94">
              <w:rPr>
                <w:webHidden/>
              </w:rPr>
              <w:tab/>
            </w:r>
            <w:r w:rsidR="00255B94">
              <w:rPr>
                <w:webHidden/>
              </w:rPr>
              <w:fldChar w:fldCharType="begin"/>
            </w:r>
            <w:r w:rsidR="00255B94">
              <w:rPr>
                <w:webHidden/>
              </w:rPr>
              <w:instrText xml:space="preserve"> PAGEREF _Toc12956301 \h </w:instrText>
            </w:r>
            <w:r w:rsidR="00255B94">
              <w:rPr>
                <w:webHidden/>
              </w:rPr>
            </w:r>
            <w:r w:rsidR="00255B94">
              <w:rPr>
                <w:webHidden/>
              </w:rPr>
              <w:fldChar w:fldCharType="separate"/>
            </w:r>
            <w:r w:rsidR="00255B94">
              <w:rPr>
                <w:webHidden/>
              </w:rPr>
              <w:t>8</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02" w:history="1">
            <w:r w:rsidR="00255B94" w:rsidRPr="00823036">
              <w:rPr>
                <w:rStyle w:val="Kpr"/>
              </w:rPr>
              <w:t>2.2.2.Regulations</w:t>
            </w:r>
            <w:r w:rsidR="00255B94">
              <w:rPr>
                <w:webHidden/>
              </w:rPr>
              <w:tab/>
            </w:r>
            <w:r w:rsidR="00255B94">
              <w:rPr>
                <w:webHidden/>
              </w:rPr>
              <w:fldChar w:fldCharType="begin"/>
            </w:r>
            <w:r w:rsidR="00255B94">
              <w:rPr>
                <w:webHidden/>
              </w:rPr>
              <w:instrText xml:space="preserve"> PAGEREF _Toc12956302 \h </w:instrText>
            </w:r>
            <w:r w:rsidR="00255B94">
              <w:rPr>
                <w:webHidden/>
              </w:rPr>
            </w:r>
            <w:r w:rsidR="00255B94">
              <w:rPr>
                <w:webHidden/>
              </w:rPr>
              <w:fldChar w:fldCharType="separate"/>
            </w:r>
            <w:r w:rsidR="00255B94">
              <w:rPr>
                <w:webHidden/>
              </w:rPr>
              <w:t>8</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03" w:history="1">
            <w:r w:rsidR="00255B94" w:rsidRPr="00823036">
              <w:rPr>
                <w:rStyle w:val="Kpr"/>
                <w:rFonts w:ascii="Calibri" w:hAnsi="Calibri"/>
              </w:rPr>
              <w:t>2.2.3.</w:t>
            </w:r>
            <w:r w:rsidR="00255B94" w:rsidRPr="00823036">
              <w:rPr>
                <w:rStyle w:val="Kpr"/>
              </w:rPr>
              <w:t xml:space="preserve"> Communiqués</w:t>
            </w:r>
            <w:r w:rsidR="00255B94">
              <w:rPr>
                <w:webHidden/>
              </w:rPr>
              <w:tab/>
            </w:r>
            <w:r w:rsidR="00255B94">
              <w:rPr>
                <w:webHidden/>
              </w:rPr>
              <w:fldChar w:fldCharType="begin"/>
            </w:r>
            <w:r w:rsidR="00255B94">
              <w:rPr>
                <w:webHidden/>
              </w:rPr>
              <w:instrText xml:space="preserve"> PAGEREF _Toc12956303 \h </w:instrText>
            </w:r>
            <w:r w:rsidR="00255B94">
              <w:rPr>
                <w:webHidden/>
              </w:rPr>
            </w:r>
            <w:r w:rsidR="00255B94">
              <w:rPr>
                <w:webHidden/>
              </w:rPr>
              <w:fldChar w:fldCharType="separate"/>
            </w:r>
            <w:r w:rsidR="00255B94">
              <w:rPr>
                <w:webHidden/>
              </w:rPr>
              <w:t>8</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04" w:history="1">
            <w:r w:rsidR="00255B94" w:rsidRPr="00823036">
              <w:rPr>
                <w:rStyle w:val="Kpr"/>
              </w:rPr>
              <w:t>2.2.4.Board Decisions</w:t>
            </w:r>
            <w:r w:rsidR="00255B94">
              <w:rPr>
                <w:webHidden/>
              </w:rPr>
              <w:tab/>
            </w:r>
            <w:r w:rsidR="00255B94">
              <w:rPr>
                <w:webHidden/>
              </w:rPr>
              <w:fldChar w:fldCharType="begin"/>
            </w:r>
            <w:r w:rsidR="00255B94">
              <w:rPr>
                <w:webHidden/>
              </w:rPr>
              <w:instrText xml:space="preserve"> PAGEREF _Toc12956304 \h </w:instrText>
            </w:r>
            <w:r w:rsidR="00255B94">
              <w:rPr>
                <w:webHidden/>
              </w:rPr>
            </w:r>
            <w:r w:rsidR="00255B94">
              <w:rPr>
                <w:webHidden/>
              </w:rPr>
              <w:fldChar w:fldCharType="separate"/>
            </w:r>
            <w:r w:rsidR="00255B94">
              <w:rPr>
                <w:webHidden/>
              </w:rPr>
              <w:t>9</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05" w:history="1">
            <w:r w:rsidR="00255B94" w:rsidRPr="00823036">
              <w:rPr>
                <w:rStyle w:val="Kpr"/>
              </w:rPr>
              <w:t>2.3.Petroleum Market Legislation</w:t>
            </w:r>
            <w:r w:rsidR="00255B94">
              <w:rPr>
                <w:webHidden/>
              </w:rPr>
              <w:tab/>
            </w:r>
            <w:r w:rsidR="00255B94">
              <w:rPr>
                <w:webHidden/>
              </w:rPr>
              <w:fldChar w:fldCharType="begin"/>
            </w:r>
            <w:r w:rsidR="00255B94">
              <w:rPr>
                <w:webHidden/>
              </w:rPr>
              <w:instrText xml:space="preserve"> PAGEREF _Toc12956305 \h </w:instrText>
            </w:r>
            <w:r w:rsidR="00255B94">
              <w:rPr>
                <w:webHidden/>
              </w:rPr>
            </w:r>
            <w:r w:rsidR="00255B94">
              <w:rPr>
                <w:webHidden/>
              </w:rPr>
              <w:fldChar w:fldCharType="separate"/>
            </w:r>
            <w:r w:rsidR="00255B94">
              <w:rPr>
                <w:webHidden/>
              </w:rPr>
              <w:t>11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06" w:history="1">
            <w:r w:rsidR="00255B94" w:rsidRPr="00823036">
              <w:rPr>
                <w:rStyle w:val="Kpr"/>
              </w:rPr>
              <w:t>2.3.1.Law</w:t>
            </w:r>
            <w:r w:rsidR="00255B94">
              <w:rPr>
                <w:webHidden/>
              </w:rPr>
              <w:tab/>
            </w:r>
            <w:r w:rsidR="00255B94">
              <w:rPr>
                <w:webHidden/>
              </w:rPr>
              <w:fldChar w:fldCharType="begin"/>
            </w:r>
            <w:r w:rsidR="00255B94">
              <w:rPr>
                <w:webHidden/>
              </w:rPr>
              <w:instrText xml:space="preserve"> PAGEREF _Toc12956306 \h </w:instrText>
            </w:r>
            <w:r w:rsidR="00255B94">
              <w:rPr>
                <w:webHidden/>
              </w:rPr>
            </w:r>
            <w:r w:rsidR="00255B94">
              <w:rPr>
                <w:webHidden/>
              </w:rPr>
              <w:fldChar w:fldCharType="separate"/>
            </w:r>
            <w:r w:rsidR="00255B94">
              <w:rPr>
                <w:webHidden/>
              </w:rPr>
              <w:t>11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07" w:history="1">
            <w:r w:rsidR="00255B94" w:rsidRPr="00823036">
              <w:rPr>
                <w:rStyle w:val="Kpr"/>
              </w:rPr>
              <w:t>2.3.2.Regulations</w:t>
            </w:r>
            <w:r w:rsidR="00255B94">
              <w:rPr>
                <w:webHidden/>
              </w:rPr>
              <w:tab/>
            </w:r>
            <w:r w:rsidR="00255B94">
              <w:rPr>
                <w:webHidden/>
              </w:rPr>
              <w:fldChar w:fldCharType="begin"/>
            </w:r>
            <w:r w:rsidR="00255B94">
              <w:rPr>
                <w:webHidden/>
              </w:rPr>
              <w:instrText xml:space="preserve"> PAGEREF _Toc12956307 \h </w:instrText>
            </w:r>
            <w:r w:rsidR="00255B94">
              <w:rPr>
                <w:webHidden/>
              </w:rPr>
            </w:r>
            <w:r w:rsidR="00255B94">
              <w:rPr>
                <w:webHidden/>
              </w:rPr>
              <w:fldChar w:fldCharType="separate"/>
            </w:r>
            <w:r w:rsidR="00255B94">
              <w:rPr>
                <w:webHidden/>
              </w:rPr>
              <w:t>11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08" w:history="1">
            <w:r w:rsidR="00255B94" w:rsidRPr="00823036">
              <w:rPr>
                <w:rStyle w:val="Kpr"/>
              </w:rPr>
              <w:t>2.3.3. Communiqués</w:t>
            </w:r>
            <w:r w:rsidR="00255B94">
              <w:rPr>
                <w:webHidden/>
              </w:rPr>
              <w:tab/>
            </w:r>
            <w:r w:rsidR="00255B94">
              <w:rPr>
                <w:webHidden/>
              </w:rPr>
              <w:fldChar w:fldCharType="begin"/>
            </w:r>
            <w:r w:rsidR="00255B94">
              <w:rPr>
                <w:webHidden/>
              </w:rPr>
              <w:instrText xml:space="preserve"> PAGEREF _Toc12956308 \h </w:instrText>
            </w:r>
            <w:r w:rsidR="00255B94">
              <w:rPr>
                <w:webHidden/>
              </w:rPr>
            </w:r>
            <w:r w:rsidR="00255B94">
              <w:rPr>
                <w:webHidden/>
              </w:rPr>
              <w:fldChar w:fldCharType="separate"/>
            </w:r>
            <w:r w:rsidR="00255B94">
              <w:rPr>
                <w:webHidden/>
              </w:rPr>
              <w:t>11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09" w:history="1">
            <w:r w:rsidR="00255B94" w:rsidRPr="00823036">
              <w:rPr>
                <w:rStyle w:val="Kpr"/>
              </w:rPr>
              <w:t>2.3.4. Board Decisions</w:t>
            </w:r>
            <w:r w:rsidR="00255B94">
              <w:rPr>
                <w:webHidden/>
              </w:rPr>
              <w:tab/>
            </w:r>
            <w:r w:rsidR="00255B94">
              <w:rPr>
                <w:webHidden/>
              </w:rPr>
              <w:fldChar w:fldCharType="begin"/>
            </w:r>
            <w:r w:rsidR="00255B94">
              <w:rPr>
                <w:webHidden/>
              </w:rPr>
              <w:instrText xml:space="preserve"> PAGEREF _Toc12956309 \h </w:instrText>
            </w:r>
            <w:r w:rsidR="00255B94">
              <w:rPr>
                <w:webHidden/>
              </w:rPr>
            </w:r>
            <w:r w:rsidR="00255B94">
              <w:rPr>
                <w:webHidden/>
              </w:rPr>
              <w:fldChar w:fldCharType="separate"/>
            </w:r>
            <w:r w:rsidR="00255B94">
              <w:rPr>
                <w:webHidden/>
              </w:rPr>
              <w:t>11</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10" w:history="1">
            <w:r w:rsidR="00255B94" w:rsidRPr="00823036">
              <w:rPr>
                <w:rStyle w:val="Kpr"/>
              </w:rPr>
              <w:t>2.4.Liquefied Petroleum Gases (LPG) Market Legislation</w:t>
            </w:r>
            <w:r w:rsidR="00255B94">
              <w:rPr>
                <w:webHidden/>
              </w:rPr>
              <w:tab/>
            </w:r>
            <w:r w:rsidR="00255B94">
              <w:rPr>
                <w:webHidden/>
              </w:rPr>
              <w:fldChar w:fldCharType="begin"/>
            </w:r>
            <w:r w:rsidR="00255B94">
              <w:rPr>
                <w:webHidden/>
              </w:rPr>
              <w:instrText xml:space="preserve"> PAGEREF _Toc12956310 \h </w:instrText>
            </w:r>
            <w:r w:rsidR="00255B94">
              <w:rPr>
                <w:webHidden/>
              </w:rPr>
            </w:r>
            <w:r w:rsidR="00255B94">
              <w:rPr>
                <w:webHidden/>
              </w:rPr>
              <w:fldChar w:fldCharType="separate"/>
            </w:r>
            <w:r w:rsidR="00255B94">
              <w:rPr>
                <w:webHidden/>
              </w:rPr>
              <w:t>11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11" w:history="1">
            <w:r w:rsidR="00255B94" w:rsidRPr="00823036">
              <w:rPr>
                <w:rStyle w:val="Kpr"/>
              </w:rPr>
              <w:t>2.4.1. Law</w:t>
            </w:r>
            <w:r w:rsidR="00255B94">
              <w:rPr>
                <w:webHidden/>
              </w:rPr>
              <w:tab/>
            </w:r>
            <w:r w:rsidR="00255B94">
              <w:rPr>
                <w:webHidden/>
              </w:rPr>
              <w:fldChar w:fldCharType="begin"/>
            </w:r>
            <w:r w:rsidR="00255B94">
              <w:rPr>
                <w:webHidden/>
              </w:rPr>
              <w:instrText xml:space="preserve"> PAGEREF _Toc12956311 \h </w:instrText>
            </w:r>
            <w:r w:rsidR="00255B94">
              <w:rPr>
                <w:webHidden/>
              </w:rPr>
            </w:r>
            <w:r w:rsidR="00255B94">
              <w:rPr>
                <w:webHidden/>
              </w:rPr>
              <w:fldChar w:fldCharType="separate"/>
            </w:r>
            <w:r w:rsidR="00255B94">
              <w:rPr>
                <w:webHidden/>
              </w:rPr>
              <w:t>11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12" w:history="1">
            <w:r w:rsidR="00255B94" w:rsidRPr="00823036">
              <w:rPr>
                <w:rStyle w:val="Kpr"/>
              </w:rPr>
              <w:t>2.4.2.Regulations</w:t>
            </w:r>
            <w:r w:rsidR="00255B94">
              <w:rPr>
                <w:webHidden/>
              </w:rPr>
              <w:tab/>
            </w:r>
            <w:r w:rsidR="00255B94">
              <w:rPr>
                <w:webHidden/>
              </w:rPr>
              <w:fldChar w:fldCharType="begin"/>
            </w:r>
            <w:r w:rsidR="00255B94">
              <w:rPr>
                <w:webHidden/>
              </w:rPr>
              <w:instrText xml:space="preserve"> PAGEREF _Toc12956312 \h </w:instrText>
            </w:r>
            <w:r w:rsidR="00255B94">
              <w:rPr>
                <w:webHidden/>
              </w:rPr>
            </w:r>
            <w:r w:rsidR="00255B94">
              <w:rPr>
                <w:webHidden/>
              </w:rPr>
              <w:fldChar w:fldCharType="separate"/>
            </w:r>
            <w:r w:rsidR="00255B94">
              <w:rPr>
                <w:webHidden/>
              </w:rPr>
              <w:t>12</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13" w:history="1">
            <w:r w:rsidR="00255B94" w:rsidRPr="00823036">
              <w:rPr>
                <w:rStyle w:val="Kpr"/>
              </w:rPr>
              <w:t>2.4.3.Communiqués</w:t>
            </w:r>
            <w:r w:rsidR="00255B94">
              <w:rPr>
                <w:webHidden/>
              </w:rPr>
              <w:tab/>
            </w:r>
            <w:r w:rsidR="00255B94">
              <w:rPr>
                <w:webHidden/>
              </w:rPr>
              <w:fldChar w:fldCharType="begin"/>
            </w:r>
            <w:r w:rsidR="00255B94">
              <w:rPr>
                <w:webHidden/>
              </w:rPr>
              <w:instrText xml:space="preserve"> PAGEREF _Toc12956313 \h </w:instrText>
            </w:r>
            <w:r w:rsidR="00255B94">
              <w:rPr>
                <w:webHidden/>
              </w:rPr>
            </w:r>
            <w:r w:rsidR="00255B94">
              <w:rPr>
                <w:webHidden/>
              </w:rPr>
              <w:fldChar w:fldCharType="separate"/>
            </w:r>
            <w:r w:rsidR="00255B94">
              <w:rPr>
                <w:webHidden/>
              </w:rPr>
              <w:t>12</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14" w:history="1">
            <w:r w:rsidR="00255B94" w:rsidRPr="00823036">
              <w:rPr>
                <w:rStyle w:val="Kpr"/>
              </w:rPr>
              <w:t>2.4.4.Board Decisions</w:t>
            </w:r>
            <w:r w:rsidR="00255B94">
              <w:rPr>
                <w:webHidden/>
              </w:rPr>
              <w:tab/>
            </w:r>
            <w:r w:rsidR="00255B94">
              <w:rPr>
                <w:webHidden/>
              </w:rPr>
              <w:fldChar w:fldCharType="begin"/>
            </w:r>
            <w:r w:rsidR="00255B94">
              <w:rPr>
                <w:webHidden/>
              </w:rPr>
              <w:instrText xml:space="preserve"> PAGEREF _Toc12956314 \h </w:instrText>
            </w:r>
            <w:r w:rsidR="00255B94">
              <w:rPr>
                <w:webHidden/>
              </w:rPr>
            </w:r>
            <w:r w:rsidR="00255B94">
              <w:rPr>
                <w:webHidden/>
              </w:rPr>
              <w:fldChar w:fldCharType="separate"/>
            </w:r>
            <w:r w:rsidR="00255B94">
              <w:rPr>
                <w:webHidden/>
              </w:rPr>
              <w:t>12</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15" w:history="1">
            <w:r w:rsidR="00255B94" w:rsidRPr="00823036">
              <w:rPr>
                <w:rStyle w:val="Kpr"/>
              </w:rPr>
              <w:t>2.5.Other Legislation Activities</w:t>
            </w:r>
            <w:r w:rsidR="00255B94">
              <w:rPr>
                <w:webHidden/>
              </w:rPr>
              <w:tab/>
            </w:r>
            <w:r w:rsidR="00255B94">
              <w:rPr>
                <w:webHidden/>
              </w:rPr>
              <w:fldChar w:fldCharType="begin"/>
            </w:r>
            <w:r w:rsidR="00255B94">
              <w:rPr>
                <w:webHidden/>
              </w:rPr>
              <w:instrText xml:space="preserve"> PAGEREF _Toc12956315 \h </w:instrText>
            </w:r>
            <w:r w:rsidR="00255B94">
              <w:rPr>
                <w:webHidden/>
              </w:rPr>
            </w:r>
            <w:r w:rsidR="00255B94">
              <w:rPr>
                <w:webHidden/>
              </w:rPr>
              <w:fldChar w:fldCharType="separate"/>
            </w:r>
            <w:r w:rsidR="00255B94">
              <w:rPr>
                <w:webHidden/>
              </w:rPr>
              <w:t>14</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16" w:history="1">
            <w:r w:rsidR="00255B94" w:rsidRPr="00823036">
              <w:rPr>
                <w:rStyle w:val="Kpr"/>
              </w:rPr>
              <w:t>2.5.1.Other Amendments</w:t>
            </w:r>
            <w:r w:rsidR="00255B94">
              <w:rPr>
                <w:webHidden/>
              </w:rPr>
              <w:tab/>
            </w:r>
            <w:r w:rsidR="00255B94">
              <w:rPr>
                <w:webHidden/>
              </w:rPr>
              <w:fldChar w:fldCharType="begin"/>
            </w:r>
            <w:r w:rsidR="00255B94">
              <w:rPr>
                <w:webHidden/>
              </w:rPr>
              <w:instrText xml:space="preserve"> PAGEREF _Toc12956316 \h </w:instrText>
            </w:r>
            <w:r w:rsidR="00255B94">
              <w:rPr>
                <w:webHidden/>
              </w:rPr>
            </w:r>
            <w:r w:rsidR="00255B94">
              <w:rPr>
                <w:webHidden/>
              </w:rPr>
              <w:fldChar w:fldCharType="separate"/>
            </w:r>
            <w:r w:rsidR="00255B94">
              <w:rPr>
                <w:webHidden/>
              </w:rPr>
              <w:t>15</w:t>
            </w:r>
            <w:r w:rsidR="00255B94">
              <w:rPr>
                <w:webHidden/>
              </w:rPr>
              <w:fldChar w:fldCharType="end"/>
            </w:r>
          </w:hyperlink>
        </w:p>
        <w:p w:rsidR="00255B94" w:rsidRDefault="008C28A7">
          <w:pPr>
            <w:pStyle w:val="T1"/>
            <w:tabs>
              <w:tab w:val="left" w:pos="440"/>
              <w:tab w:val="right" w:leader="dot" w:pos="9396"/>
            </w:tabs>
            <w:rPr>
              <w:rFonts w:eastAsiaTheme="minorEastAsia"/>
              <w:lang w:val="tr-TR" w:eastAsia="tr-TR"/>
            </w:rPr>
          </w:pPr>
          <w:hyperlink w:anchor="_Toc12956317" w:history="1">
            <w:r w:rsidR="00255B94" w:rsidRPr="00823036">
              <w:rPr>
                <w:rStyle w:val="Kpr"/>
              </w:rPr>
              <w:t>3.</w:t>
            </w:r>
            <w:r w:rsidR="00255B94">
              <w:rPr>
                <w:rFonts w:eastAsiaTheme="minorEastAsia"/>
                <w:lang w:val="tr-TR" w:eastAsia="tr-TR"/>
              </w:rPr>
              <w:tab/>
            </w:r>
            <w:r w:rsidR="00255B94" w:rsidRPr="00823036">
              <w:rPr>
                <w:rStyle w:val="Kpr"/>
              </w:rPr>
              <w:t>LICENSING, CERTIFICATION AND AUTHORIZATION ACTIVITIES</w:t>
            </w:r>
            <w:r w:rsidR="00255B94">
              <w:rPr>
                <w:webHidden/>
              </w:rPr>
              <w:tab/>
            </w:r>
            <w:r w:rsidR="00255B94">
              <w:rPr>
                <w:webHidden/>
              </w:rPr>
              <w:fldChar w:fldCharType="begin"/>
            </w:r>
            <w:r w:rsidR="00255B94">
              <w:rPr>
                <w:webHidden/>
              </w:rPr>
              <w:instrText xml:space="preserve"> PAGEREF _Toc12956317 \h </w:instrText>
            </w:r>
            <w:r w:rsidR="00255B94">
              <w:rPr>
                <w:webHidden/>
              </w:rPr>
            </w:r>
            <w:r w:rsidR="00255B94">
              <w:rPr>
                <w:webHidden/>
              </w:rPr>
              <w:fldChar w:fldCharType="separate"/>
            </w:r>
            <w:r w:rsidR="00255B94">
              <w:rPr>
                <w:webHidden/>
              </w:rPr>
              <w:t>15</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18" w:history="1">
            <w:r w:rsidR="00255B94" w:rsidRPr="00823036">
              <w:rPr>
                <w:rStyle w:val="Kpr"/>
              </w:rPr>
              <w:t>3.1.Electricity Market Licensing and Authorization Activities</w:t>
            </w:r>
            <w:r w:rsidR="00255B94">
              <w:rPr>
                <w:webHidden/>
              </w:rPr>
              <w:tab/>
            </w:r>
            <w:r w:rsidR="00255B94">
              <w:rPr>
                <w:webHidden/>
              </w:rPr>
              <w:fldChar w:fldCharType="begin"/>
            </w:r>
            <w:r w:rsidR="00255B94">
              <w:rPr>
                <w:webHidden/>
              </w:rPr>
              <w:instrText xml:space="preserve"> PAGEREF _Toc12956318 \h </w:instrText>
            </w:r>
            <w:r w:rsidR="00255B94">
              <w:rPr>
                <w:webHidden/>
              </w:rPr>
            </w:r>
            <w:r w:rsidR="00255B94">
              <w:rPr>
                <w:webHidden/>
              </w:rPr>
              <w:fldChar w:fldCharType="separate"/>
            </w:r>
            <w:r w:rsidR="00255B94">
              <w:rPr>
                <w:webHidden/>
              </w:rPr>
              <w:t>15</w:t>
            </w:r>
            <w:r w:rsidR="00255B94">
              <w:rPr>
                <w:webHidden/>
              </w:rPr>
              <w:fldChar w:fldCharType="end"/>
            </w:r>
          </w:hyperlink>
        </w:p>
        <w:p w:rsidR="00255B94" w:rsidRDefault="008C28A7">
          <w:pPr>
            <w:pStyle w:val="T3"/>
            <w:tabs>
              <w:tab w:val="left" w:pos="1320"/>
              <w:tab w:val="right" w:leader="dot" w:pos="9396"/>
            </w:tabs>
            <w:rPr>
              <w:rFonts w:eastAsiaTheme="minorEastAsia"/>
              <w:lang w:val="tr-TR" w:eastAsia="tr-TR"/>
            </w:rPr>
          </w:pPr>
          <w:hyperlink w:anchor="_Toc12956319" w:history="1">
            <w:r w:rsidR="00255B94" w:rsidRPr="00823036">
              <w:rPr>
                <w:rStyle w:val="Kpr"/>
              </w:rPr>
              <w:t>3.1.1.</w:t>
            </w:r>
            <w:r w:rsidR="00255B94">
              <w:rPr>
                <w:rFonts w:eastAsiaTheme="minorEastAsia"/>
                <w:lang w:val="tr-TR" w:eastAsia="tr-TR"/>
              </w:rPr>
              <w:tab/>
            </w:r>
            <w:r w:rsidR="00255B94" w:rsidRPr="00823036">
              <w:rPr>
                <w:rStyle w:val="Kpr"/>
              </w:rPr>
              <w:t>Licensing Activities</w:t>
            </w:r>
            <w:r w:rsidR="00255B94">
              <w:rPr>
                <w:webHidden/>
              </w:rPr>
              <w:tab/>
            </w:r>
            <w:r w:rsidR="00255B94">
              <w:rPr>
                <w:webHidden/>
              </w:rPr>
              <w:fldChar w:fldCharType="begin"/>
            </w:r>
            <w:r w:rsidR="00255B94">
              <w:rPr>
                <w:webHidden/>
              </w:rPr>
              <w:instrText xml:space="preserve"> PAGEREF _Toc12956319 \h </w:instrText>
            </w:r>
            <w:r w:rsidR="00255B94">
              <w:rPr>
                <w:webHidden/>
              </w:rPr>
            </w:r>
            <w:r w:rsidR="00255B94">
              <w:rPr>
                <w:webHidden/>
              </w:rPr>
              <w:fldChar w:fldCharType="separate"/>
            </w:r>
            <w:r w:rsidR="00255B94">
              <w:rPr>
                <w:webHidden/>
              </w:rPr>
              <w:t>15</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20" w:history="1">
            <w:r w:rsidR="00255B94" w:rsidRPr="00823036">
              <w:rPr>
                <w:rStyle w:val="Kpr"/>
              </w:rPr>
              <w:t>3.2.1.Import and Export Permits</w:t>
            </w:r>
            <w:r w:rsidR="00255B94">
              <w:rPr>
                <w:webHidden/>
              </w:rPr>
              <w:tab/>
            </w:r>
            <w:r w:rsidR="00255B94">
              <w:rPr>
                <w:webHidden/>
              </w:rPr>
              <w:fldChar w:fldCharType="begin"/>
            </w:r>
            <w:r w:rsidR="00255B94">
              <w:rPr>
                <w:webHidden/>
              </w:rPr>
              <w:instrText xml:space="preserve"> PAGEREF _Toc12956320 \h </w:instrText>
            </w:r>
            <w:r w:rsidR="00255B94">
              <w:rPr>
                <w:webHidden/>
              </w:rPr>
            </w:r>
            <w:r w:rsidR="00255B94">
              <w:rPr>
                <w:webHidden/>
              </w:rPr>
              <w:fldChar w:fldCharType="separate"/>
            </w:r>
            <w:r w:rsidR="00255B94">
              <w:rPr>
                <w:webHidden/>
              </w:rPr>
              <w:t>18</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21" w:history="1">
            <w:r w:rsidR="00255B94" w:rsidRPr="00823036">
              <w:rPr>
                <w:rStyle w:val="Kpr"/>
              </w:rPr>
              <w:t>3.2.Natural Gas Market Licensing and Certification Activities</w:t>
            </w:r>
            <w:r w:rsidR="00255B94">
              <w:rPr>
                <w:webHidden/>
              </w:rPr>
              <w:tab/>
            </w:r>
            <w:r w:rsidR="00255B94">
              <w:rPr>
                <w:webHidden/>
              </w:rPr>
              <w:fldChar w:fldCharType="begin"/>
            </w:r>
            <w:r w:rsidR="00255B94">
              <w:rPr>
                <w:webHidden/>
              </w:rPr>
              <w:instrText xml:space="preserve"> PAGEREF _Toc12956321 \h </w:instrText>
            </w:r>
            <w:r w:rsidR="00255B94">
              <w:rPr>
                <w:webHidden/>
              </w:rPr>
            </w:r>
            <w:r w:rsidR="00255B94">
              <w:rPr>
                <w:webHidden/>
              </w:rPr>
              <w:fldChar w:fldCharType="separate"/>
            </w:r>
            <w:r w:rsidR="00255B94">
              <w:rPr>
                <w:webHidden/>
              </w:rPr>
              <w:t>18</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22" w:history="1">
            <w:r w:rsidR="00255B94" w:rsidRPr="00823036">
              <w:rPr>
                <w:rStyle w:val="Kpr"/>
              </w:rPr>
              <w:t>3.2.1.Licensing Activities</w:t>
            </w:r>
            <w:r w:rsidR="00255B94">
              <w:rPr>
                <w:webHidden/>
              </w:rPr>
              <w:tab/>
            </w:r>
            <w:r w:rsidR="00255B94">
              <w:rPr>
                <w:webHidden/>
              </w:rPr>
              <w:fldChar w:fldCharType="begin"/>
            </w:r>
            <w:r w:rsidR="00255B94">
              <w:rPr>
                <w:webHidden/>
              </w:rPr>
              <w:instrText xml:space="preserve"> PAGEREF _Toc12956322 \h </w:instrText>
            </w:r>
            <w:r w:rsidR="00255B94">
              <w:rPr>
                <w:webHidden/>
              </w:rPr>
            </w:r>
            <w:r w:rsidR="00255B94">
              <w:rPr>
                <w:webHidden/>
              </w:rPr>
              <w:fldChar w:fldCharType="separate"/>
            </w:r>
            <w:r w:rsidR="00255B94">
              <w:rPr>
                <w:webHidden/>
              </w:rPr>
              <w:t>18</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23" w:history="1">
            <w:r w:rsidR="00255B94" w:rsidRPr="00823036">
              <w:rPr>
                <w:rStyle w:val="Kpr"/>
              </w:rPr>
              <w:t>3.2.2.Certification Activities</w:t>
            </w:r>
            <w:r w:rsidR="00255B94">
              <w:rPr>
                <w:webHidden/>
              </w:rPr>
              <w:tab/>
            </w:r>
            <w:r w:rsidR="00255B94">
              <w:rPr>
                <w:webHidden/>
              </w:rPr>
              <w:fldChar w:fldCharType="begin"/>
            </w:r>
            <w:r w:rsidR="00255B94">
              <w:rPr>
                <w:webHidden/>
              </w:rPr>
              <w:instrText xml:space="preserve"> PAGEREF _Toc12956323 \h </w:instrText>
            </w:r>
            <w:r w:rsidR="00255B94">
              <w:rPr>
                <w:webHidden/>
              </w:rPr>
            </w:r>
            <w:r w:rsidR="00255B94">
              <w:rPr>
                <w:webHidden/>
              </w:rPr>
              <w:fldChar w:fldCharType="separate"/>
            </w:r>
            <w:r w:rsidR="00255B94">
              <w:rPr>
                <w:webHidden/>
              </w:rPr>
              <w:t>20</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24" w:history="1">
            <w:r w:rsidR="00255B94" w:rsidRPr="00823036">
              <w:rPr>
                <w:rStyle w:val="Kpr"/>
              </w:rPr>
              <w:t>3.3. Petroleum Market Licensing Activities</w:t>
            </w:r>
            <w:r w:rsidR="00255B94">
              <w:rPr>
                <w:webHidden/>
              </w:rPr>
              <w:tab/>
            </w:r>
            <w:r w:rsidR="00255B94">
              <w:rPr>
                <w:webHidden/>
              </w:rPr>
              <w:fldChar w:fldCharType="begin"/>
            </w:r>
            <w:r w:rsidR="00255B94">
              <w:rPr>
                <w:webHidden/>
              </w:rPr>
              <w:instrText xml:space="preserve"> PAGEREF _Toc12956324 \h </w:instrText>
            </w:r>
            <w:r w:rsidR="00255B94">
              <w:rPr>
                <w:webHidden/>
              </w:rPr>
            </w:r>
            <w:r w:rsidR="00255B94">
              <w:rPr>
                <w:webHidden/>
              </w:rPr>
              <w:fldChar w:fldCharType="separate"/>
            </w:r>
            <w:r w:rsidR="00255B94">
              <w:rPr>
                <w:webHidden/>
              </w:rPr>
              <w:t>20</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25" w:history="1">
            <w:r w:rsidR="00255B94" w:rsidRPr="00823036">
              <w:rPr>
                <w:rStyle w:val="Kpr"/>
              </w:rPr>
              <w:t>3.3.1.Procedures regarding the non- petroleum products authorizations</w:t>
            </w:r>
            <w:r w:rsidR="00255B94">
              <w:rPr>
                <w:webHidden/>
              </w:rPr>
              <w:tab/>
            </w:r>
            <w:r w:rsidR="00255B94">
              <w:rPr>
                <w:webHidden/>
              </w:rPr>
              <w:fldChar w:fldCharType="begin"/>
            </w:r>
            <w:r w:rsidR="00255B94">
              <w:rPr>
                <w:webHidden/>
              </w:rPr>
              <w:instrText xml:space="preserve"> PAGEREF _Toc12956325 \h </w:instrText>
            </w:r>
            <w:r w:rsidR="00255B94">
              <w:rPr>
                <w:webHidden/>
              </w:rPr>
            </w:r>
            <w:r w:rsidR="00255B94">
              <w:rPr>
                <w:webHidden/>
              </w:rPr>
              <w:fldChar w:fldCharType="separate"/>
            </w:r>
            <w:r w:rsidR="00255B94">
              <w:rPr>
                <w:webHidden/>
              </w:rPr>
              <w:t>23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26" w:history="1">
            <w:r w:rsidR="00255B94" w:rsidRPr="00823036">
              <w:rPr>
                <w:rStyle w:val="Kpr"/>
              </w:rPr>
              <w:t>3.3.2.Automation Works for License Holders</w:t>
            </w:r>
            <w:r w:rsidR="00255B94">
              <w:rPr>
                <w:webHidden/>
              </w:rPr>
              <w:tab/>
            </w:r>
            <w:r w:rsidR="00255B94">
              <w:rPr>
                <w:webHidden/>
              </w:rPr>
              <w:fldChar w:fldCharType="begin"/>
            </w:r>
            <w:r w:rsidR="00255B94">
              <w:rPr>
                <w:webHidden/>
              </w:rPr>
              <w:instrText xml:space="preserve"> PAGEREF _Toc12956326 \h </w:instrText>
            </w:r>
            <w:r w:rsidR="00255B94">
              <w:rPr>
                <w:webHidden/>
              </w:rPr>
            </w:r>
            <w:r w:rsidR="00255B94">
              <w:rPr>
                <w:webHidden/>
              </w:rPr>
              <w:fldChar w:fldCharType="separate"/>
            </w:r>
            <w:r w:rsidR="00255B94">
              <w:rPr>
                <w:webHidden/>
              </w:rPr>
              <w:t>23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27" w:history="1">
            <w:r w:rsidR="00255B94" w:rsidRPr="00823036">
              <w:rPr>
                <w:rStyle w:val="Kpr"/>
              </w:rPr>
              <w:t>3.3.2.3.Petroleum Depot Stock Monitoring System</w:t>
            </w:r>
            <w:r w:rsidR="00255B94">
              <w:rPr>
                <w:webHidden/>
              </w:rPr>
              <w:tab/>
            </w:r>
            <w:r w:rsidR="00255B94">
              <w:rPr>
                <w:webHidden/>
              </w:rPr>
              <w:fldChar w:fldCharType="begin"/>
            </w:r>
            <w:r w:rsidR="00255B94">
              <w:rPr>
                <w:webHidden/>
              </w:rPr>
              <w:instrText xml:space="preserve"> PAGEREF _Toc12956327 \h </w:instrText>
            </w:r>
            <w:r w:rsidR="00255B94">
              <w:rPr>
                <w:webHidden/>
              </w:rPr>
            </w:r>
            <w:r w:rsidR="00255B94">
              <w:rPr>
                <w:webHidden/>
              </w:rPr>
              <w:fldChar w:fldCharType="separate"/>
            </w:r>
            <w:r w:rsidR="00255B94">
              <w:rPr>
                <w:webHidden/>
              </w:rPr>
              <w:t>26</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28" w:history="1">
            <w:r w:rsidR="00255B94" w:rsidRPr="00823036">
              <w:rPr>
                <w:rStyle w:val="Kpr"/>
              </w:rPr>
              <w:t>3.4.Liquefied Petroleum Gases (LPG) Market Licensing Activities</w:t>
            </w:r>
            <w:r w:rsidR="00255B94">
              <w:rPr>
                <w:webHidden/>
              </w:rPr>
              <w:tab/>
            </w:r>
            <w:r w:rsidR="00255B94">
              <w:rPr>
                <w:webHidden/>
              </w:rPr>
              <w:fldChar w:fldCharType="begin"/>
            </w:r>
            <w:r w:rsidR="00255B94">
              <w:rPr>
                <w:webHidden/>
              </w:rPr>
              <w:instrText xml:space="preserve"> PAGEREF _Toc12956328 \h </w:instrText>
            </w:r>
            <w:r w:rsidR="00255B94">
              <w:rPr>
                <w:webHidden/>
              </w:rPr>
            </w:r>
            <w:r w:rsidR="00255B94">
              <w:rPr>
                <w:webHidden/>
              </w:rPr>
              <w:fldChar w:fldCharType="separate"/>
            </w:r>
            <w:r w:rsidR="00255B94">
              <w:rPr>
                <w:webHidden/>
              </w:rPr>
              <w:t>26</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29" w:history="1">
            <w:r w:rsidR="00255B94" w:rsidRPr="00823036">
              <w:rPr>
                <w:rStyle w:val="Kpr"/>
              </w:rPr>
              <w:t>3.4.1.Liquefied Petroleum Gases (LPG) Market granting permits for coupons</w:t>
            </w:r>
            <w:r w:rsidR="00255B94">
              <w:rPr>
                <w:webHidden/>
              </w:rPr>
              <w:tab/>
            </w:r>
            <w:r w:rsidR="00255B94">
              <w:rPr>
                <w:webHidden/>
              </w:rPr>
              <w:fldChar w:fldCharType="begin"/>
            </w:r>
            <w:r w:rsidR="00255B94">
              <w:rPr>
                <w:webHidden/>
              </w:rPr>
              <w:instrText xml:space="preserve"> PAGEREF _Toc12956329 \h </w:instrText>
            </w:r>
            <w:r w:rsidR="00255B94">
              <w:rPr>
                <w:webHidden/>
              </w:rPr>
            </w:r>
            <w:r w:rsidR="00255B94">
              <w:rPr>
                <w:webHidden/>
              </w:rPr>
              <w:fldChar w:fldCharType="separate"/>
            </w:r>
            <w:r w:rsidR="00255B94">
              <w:rPr>
                <w:webHidden/>
              </w:rPr>
              <w:t>27</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30" w:history="1">
            <w:r w:rsidR="00255B94" w:rsidRPr="00823036">
              <w:rPr>
                <w:rStyle w:val="Kpr"/>
              </w:rPr>
              <w:t>4.    PRICE FORMATION AND TARIFICATION ACTIVITIES</w:t>
            </w:r>
            <w:r w:rsidR="00255B94">
              <w:rPr>
                <w:webHidden/>
              </w:rPr>
              <w:tab/>
            </w:r>
            <w:r w:rsidR="00255B94">
              <w:rPr>
                <w:webHidden/>
              </w:rPr>
              <w:fldChar w:fldCharType="begin"/>
            </w:r>
            <w:r w:rsidR="00255B94">
              <w:rPr>
                <w:webHidden/>
              </w:rPr>
              <w:instrText xml:space="preserve"> PAGEREF _Toc12956330 \h </w:instrText>
            </w:r>
            <w:r w:rsidR="00255B94">
              <w:rPr>
                <w:webHidden/>
              </w:rPr>
            </w:r>
            <w:r w:rsidR="00255B94">
              <w:rPr>
                <w:webHidden/>
              </w:rPr>
              <w:fldChar w:fldCharType="separate"/>
            </w:r>
            <w:r w:rsidR="00255B94">
              <w:rPr>
                <w:webHidden/>
              </w:rPr>
              <w:t>29</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31" w:history="1">
            <w:r w:rsidR="00255B94" w:rsidRPr="00823036">
              <w:rPr>
                <w:rStyle w:val="Kpr"/>
              </w:rPr>
              <w:t>4.1.Electricity Market Tariffs</w:t>
            </w:r>
            <w:r w:rsidR="00255B94">
              <w:rPr>
                <w:webHidden/>
              </w:rPr>
              <w:tab/>
            </w:r>
            <w:r w:rsidR="00255B94">
              <w:rPr>
                <w:webHidden/>
              </w:rPr>
              <w:fldChar w:fldCharType="begin"/>
            </w:r>
            <w:r w:rsidR="00255B94">
              <w:rPr>
                <w:webHidden/>
              </w:rPr>
              <w:instrText xml:space="preserve"> PAGEREF _Toc12956331 \h </w:instrText>
            </w:r>
            <w:r w:rsidR="00255B94">
              <w:rPr>
                <w:webHidden/>
              </w:rPr>
            </w:r>
            <w:r w:rsidR="00255B94">
              <w:rPr>
                <w:webHidden/>
              </w:rPr>
              <w:fldChar w:fldCharType="separate"/>
            </w:r>
            <w:r w:rsidR="00255B94">
              <w:rPr>
                <w:webHidden/>
              </w:rPr>
              <w:t>29</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32" w:history="1">
            <w:r w:rsidR="00255B94" w:rsidRPr="00823036">
              <w:rPr>
                <w:rStyle w:val="Kpr"/>
              </w:rPr>
              <w:t>4.1.1.Transmission Tariff</w:t>
            </w:r>
            <w:r w:rsidR="00255B94">
              <w:rPr>
                <w:webHidden/>
              </w:rPr>
              <w:tab/>
            </w:r>
            <w:r w:rsidR="00255B94">
              <w:rPr>
                <w:webHidden/>
              </w:rPr>
              <w:fldChar w:fldCharType="begin"/>
            </w:r>
            <w:r w:rsidR="00255B94">
              <w:rPr>
                <w:webHidden/>
              </w:rPr>
              <w:instrText xml:space="preserve"> PAGEREF _Toc12956332 \h </w:instrText>
            </w:r>
            <w:r w:rsidR="00255B94">
              <w:rPr>
                <w:webHidden/>
              </w:rPr>
            </w:r>
            <w:r w:rsidR="00255B94">
              <w:rPr>
                <w:webHidden/>
              </w:rPr>
              <w:fldChar w:fldCharType="separate"/>
            </w:r>
            <w:r w:rsidR="00255B94">
              <w:rPr>
                <w:webHidden/>
              </w:rPr>
              <w:t>29</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33" w:history="1">
            <w:r w:rsidR="00255B94" w:rsidRPr="00823036">
              <w:rPr>
                <w:rStyle w:val="Kpr"/>
              </w:rPr>
              <w:t>4.1.2.Distribution and Wholesale Tariffs</w:t>
            </w:r>
            <w:r w:rsidR="00255B94">
              <w:rPr>
                <w:webHidden/>
              </w:rPr>
              <w:tab/>
            </w:r>
            <w:r w:rsidR="00255B94">
              <w:rPr>
                <w:webHidden/>
              </w:rPr>
              <w:fldChar w:fldCharType="begin"/>
            </w:r>
            <w:r w:rsidR="00255B94">
              <w:rPr>
                <w:webHidden/>
              </w:rPr>
              <w:instrText xml:space="preserve"> PAGEREF _Toc12956333 \h </w:instrText>
            </w:r>
            <w:r w:rsidR="00255B94">
              <w:rPr>
                <w:webHidden/>
              </w:rPr>
            </w:r>
            <w:r w:rsidR="00255B94">
              <w:rPr>
                <w:webHidden/>
              </w:rPr>
              <w:fldChar w:fldCharType="separate"/>
            </w:r>
            <w:r w:rsidR="00255B94">
              <w:rPr>
                <w:webHidden/>
              </w:rPr>
              <w:t>31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34" w:history="1">
            <w:r w:rsidR="00255B94" w:rsidRPr="00823036">
              <w:rPr>
                <w:rStyle w:val="Kpr"/>
              </w:rPr>
              <w:t>4.1.3.Market Operation Tariff</w:t>
            </w:r>
            <w:r w:rsidR="00255B94">
              <w:rPr>
                <w:webHidden/>
              </w:rPr>
              <w:tab/>
            </w:r>
            <w:r w:rsidR="00255B94">
              <w:rPr>
                <w:webHidden/>
              </w:rPr>
              <w:fldChar w:fldCharType="begin"/>
            </w:r>
            <w:r w:rsidR="00255B94">
              <w:rPr>
                <w:webHidden/>
              </w:rPr>
              <w:instrText xml:space="preserve"> PAGEREF _Toc12956334 \h </w:instrText>
            </w:r>
            <w:r w:rsidR="00255B94">
              <w:rPr>
                <w:webHidden/>
              </w:rPr>
            </w:r>
            <w:r w:rsidR="00255B94">
              <w:rPr>
                <w:webHidden/>
              </w:rPr>
              <w:fldChar w:fldCharType="separate"/>
            </w:r>
            <w:r w:rsidR="00255B94">
              <w:rPr>
                <w:webHidden/>
              </w:rPr>
              <w:t>39</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35" w:history="1">
            <w:r w:rsidR="00255B94" w:rsidRPr="00823036">
              <w:rPr>
                <w:rStyle w:val="Kpr"/>
              </w:rPr>
              <w:t>4.1.4.OIZ Distribution Fee</w:t>
            </w:r>
            <w:r w:rsidR="00255B94">
              <w:rPr>
                <w:webHidden/>
              </w:rPr>
              <w:tab/>
            </w:r>
            <w:r w:rsidR="00255B94">
              <w:rPr>
                <w:webHidden/>
              </w:rPr>
              <w:fldChar w:fldCharType="begin"/>
            </w:r>
            <w:r w:rsidR="00255B94">
              <w:rPr>
                <w:webHidden/>
              </w:rPr>
              <w:instrText xml:space="preserve"> PAGEREF _Toc12956335 \h </w:instrText>
            </w:r>
            <w:r w:rsidR="00255B94">
              <w:rPr>
                <w:webHidden/>
              </w:rPr>
            </w:r>
            <w:r w:rsidR="00255B94">
              <w:rPr>
                <w:webHidden/>
              </w:rPr>
              <w:fldChar w:fldCharType="separate"/>
            </w:r>
            <w:r w:rsidR="00255B94">
              <w:rPr>
                <w:webHidden/>
              </w:rPr>
              <w:t>40</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36" w:history="1">
            <w:r w:rsidR="00255B94" w:rsidRPr="00823036">
              <w:rPr>
                <w:rStyle w:val="Kpr"/>
              </w:rPr>
              <w:t>4.1.5.TETAŞ/EÜAŞ Wholesale Tariff</w:t>
            </w:r>
            <w:r w:rsidR="00255B94">
              <w:rPr>
                <w:webHidden/>
              </w:rPr>
              <w:tab/>
            </w:r>
            <w:r w:rsidR="00255B94">
              <w:rPr>
                <w:webHidden/>
              </w:rPr>
              <w:fldChar w:fldCharType="begin"/>
            </w:r>
            <w:r w:rsidR="00255B94">
              <w:rPr>
                <w:webHidden/>
              </w:rPr>
              <w:instrText xml:space="preserve"> PAGEREF _Toc12956336 \h </w:instrText>
            </w:r>
            <w:r w:rsidR="00255B94">
              <w:rPr>
                <w:webHidden/>
              </w:rPr>
            </w:r>
            <w:r w:rsidR="00255B94">
              <w:rPr>
                <w:webHidden/>
              </w:rPr>
              <w:fldChar w:fldCharType="separate"/>
            </w:r>
            <w:r w:rsidR="00255B94">
              <w:rPr>
                <w:webHidden/>
              </w:rPr>
              <w:t>40</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37" w:history="1">
            <w:r w:rsidR="00255B94" w:rsidRPr="00823036">
              <w:rPr>
                <w:rStyle w:val="Kpr"/>
              </w:rPr>
              <w:t>4.1.6.Turkey Average Electricity Wholesale Price</w:t>
            </w:r>
            <w:r w:rsidR="00255B94">
              <w:rPr>
                <w:webHidden/>
              </w:rPr>
              <w:tab/>
            </w:r>
            <w:r w:rsidR="00255B94">
              <w:rPr>
                <w:webHidden/>
              </w:rPr>
              <w:fldChar w:fldCharType="begin"/>
            </w:r>
            <w:r w:rsidR="00255B94">
              <w:rPr>
                <w:webHidden/>
              </w:rPr>
              <w:instrText xml:space="preserve"> PAGEREF _Toc12956337 \h </w:instrText>
            </w:r>
            <w:r w:rsidR="00255B94">
              <w:rPr>
                <w:webHidden/>
              </w:rPr>
            </w:r>
            <w:r w:rsidR="00255B94">
              <w:rPr>
                <w:webHidden/>
              </w:rPr>
              <w:fldChar w:fldCharType="separate"/>
            </w:r>
            <w:r w:rsidR="00255B94">
              <w:rPr>
                <w:webHidden/>
              </w:rPr>
              <w:t>41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38" w:history="1">
            <w:r w:rsidR="00255B94" w:rsidRPr="00823036">
              <w:rPr>
                <w:rStyle w:val="Kpr"/>
              </w:rPr>
              <w:t>4.1.7.License Fees</w:t>
            </w:r>
            <w:r w:rsidR="00255B94">
              <w:rPr>
                <w:webHidden/>
              </w:rPr>
              <w:tab/>
            </w:r>
            <w:r w:rsidR="00255B94">
              <w:rPr>
                <w:webHidden/>
              </w:rPr>
              <w:fldChar w:fldCharType="begin"/>
            </w:r>
            <w:r w:rsidR="00255B94">
              <w:rPr>
                <w:webHidden/>
              </w:rPr>
              <w:instrText xml:space="preserve"> PAGEREF _Toc12956338 \h </w:instrText>
            </w:r>
            <w:r w:rsidR="00255B94">
              <w:rPr>
                <w:webHidden/>
              </w:rPr>
            </w:r>
            <w:r w:rsidR="00255B94">
              <w:rPr>
                <w:webHidden/>
              </w:rPr>
              <w:fldChar w:fldCharType="separate"/>
            </w:r>
            <w:r w:rsidR="00255B94">
              <w:rPr>
                <w:webHidden/>
              </w:rPr>
              <w:t>41</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39" w:history="1">
            <w:r w:rsidR="00255B94" w:rsidRPr="00823036">
              <w:rPr>
                <w:rStyle w:val="Kpr"/>
              </w:rPr>
              <w:t>4.2.Natural Gas Market Tariffs</w:t>
            </w:r>
            <w:r w:rsidR="00255B94">
              <w:rPr>
                <w:webHidden/>
              </w:rPr>
              <w:tab/>
            </w:r>
            <w:r w:rsidR="00255B94">
              <w:rPr>
                <w:webHidden/>
              </w:rPr>
              <w:fldChar w:fldCharType="begin"/>
            </w:r>
            <w:r w:rsidR="00255B94">
              <w:rPr>
                <w:webHidden/>
              </w:rPr>
              <w:instrText xml:space="preserve"> PAGEREF _Toc12956339 \h </w:instrText>
            </w:r>
            <w:r w:rsidR="00255B94">
              <w:rPr>
                <w:webHidden/>
              </w:rPr>
            </w:r>
            <w:r w:rsidR="00255B94">
              <w:rPr>
                <w:webHidden/>
              </w:rPr>
              <w:fldChar w:fldCharType="separate"/>
            </w:r>
            <w:r w:rsidR="00255B94">
              <w:rPr>
                <w:webHidden/>
              </w:rPr>
              <w:t>41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40" w:history="1">
            <w:r w:rsidR="00255B94" w:rsidRPr="00823036">
              <w:rPr>
                <w:rStyle w:val="Kpr"/>
              </w:rPr>
              <w:t>4.2.1.Transmission and Shipping Control Tariffs</w:t>
            </w:r>
            <w:r w:rsidR="00255B94">
              <w:rPr>
                <w:webHidden/>
              </w:rPr>
              <w:tab/>
            </w:r>
            <w:r w:rsidR="00255B94">
              <w:rPr>
                <w:webHidden/>
              </w:rPr>
              <w:fldChar w:fldCharType="begin"/>
            </w:r>
            <w:r w:rsidR="00255B94">
              <w:rPr>
                <w:webHidden/>
              </w:rPr>
              <w:instrText xml:space="preserve"> PAGEREF _Toc12956340 \h </w:instrText>
            </w:r>
            <w:r w:rsidR="00255B94">
              <w:rPr>
                <w:webHidden/>
              </w:rPr>
            </w:r>
            <w:r w:rsidR="00255B94">
              <w:rPr>
                <w:webHidden/>
              </w:rPr>
              <w:fldChar w:fldCharType="separate"/>
            </w:r>
            <w:r w:rsidR="00255B94">
              <w:rPr>
                <w:webHidden/>
              </w:rPr>
              <w:t>41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41" w:history="1">
            <w:r w:rsidR="00255B94" w:rsidRPr="00823036">
              <w:rPr>
                <w:rStyle w:val="Kpr"/>
              </w:rPr>
              <w:t>4.2.2.Connection Tariffs</w:t>
            </w:r>
            <w:r w:rsidR="00255B94">
              <w:rPr>
                <w:webHidden/>
              </w:rPr>
              <w:tab/>
            </w:r>
            <w:r w:rsidR="00255B94">
              <w:rPr>
                <w:webHidden/>
              </w:rPr>
              <w:fldChar w:fldCharType="begin"/>
            </w:r>
            <w:r w:rsidR="00255B94">
              <w:rPr>
                <w:webHidden/>
              </w:rPr>
              <w:instrText xml:space="preserve"> PAGEREF _Toc12956341 \h </w:instrText>
            </w:r>
            <w:r w:rsidR="00255B94">
              <w:rPr>
                <w:webHidden/>
              </w:rPr>
            </w:r>
            <w:r w:rsidR="00255B94">
              <w:rPr>
                <w:webHidden/>
              </w:rPr>
              <w:fldChar w:fldCharType="separate"/>
            </w:r>
            <w:r w:rsidR="00255B94">
              <w:rPr>
                <w:webHidden/>
              </w:rPr>
              <w:t>42</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42" w:history="1">
            <w:r w:rsidR="00255B94" w:rsidRPr="00823036">
              <w:rPr>
                <w:rStyle w:val="Kpr"/>
              </w:rPr>
              <w:t>4.2.3.Fees for Internal installation project approval, supervision, testing and commissioning transactions</w:t>
            </w:r>
            <w:r w:rsidR="00255B94">
              <w:rPr>
                <w:webHidden/>
              </w:rPr>
              <w:tab/>
            </w:r>
            <w:r w:rsidR="00255B94">
              <w:rPr>
                <w:webHidden/>
              </w:rPr>
              <w:fldChar w:fldCharType="begin"/>
            </w:r>
            <w:r w:rsidR="00255B94">
              <w:rPr>
                <w:webHidden/>
              </w:rPr>
              <w:instrText xml:space="preserve"> PAGEREF _Toc12956342 \h </w:instrText>
            </w:r>
            <w:r w:rsidR="00255B94">
              <w:rPr>
                <w:webHidden/>
              </w:rPr>
            </w:r>
            <w:r w:rsidR="00255B94">
              <w:rPr>
                <w:webHidden/>
              </w:rPr>
              <w:fldChar w:fldCharType="separate"/>
            </w:r>
            <w:r w:rsidR="00255B94">
              <w:rPr>
                <w:webHidden/>
              </w:rPr>
              <w:t>43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43" w:history="1">
            <w:r w:rsidR="00255B94" w:rsidRPr="00823036">
              <w:rPr>
                <w:rStyle w:val="Kpr"/>
              </w:rPr>
              <w:t>4.2.4.Wholesale Tariffs</w:t>
            </w:r>
            <w:r w:rsidR="00255B94">
              <w:rPr>
                <w:webHidden/>
              </w:rPr>
              <w:tab/>
            </w:r>
            <w:r w:rsidR="00255B94">
              <w:rPr>
                <w:webHidden/>
              </w:rPr>
              <w:fldChar w:fldCharType="begin"/>
            </w:r>
            <w:r w:rsidR="00255B94">
              <w:rPr>
                <w:webHidden/>
              </w:rPr>
              <w:instrText xml:space="preserve"> PAGEREF _Toc12956343 \h </w:instrText>
            </w:r>
            <w:r w:rsidR="00255B94">
              <w:rPr>
                <w:webHidden/>
              </w:rPr>
            </w:r>
            <w:r w:rsidR="00255B94">
              <w:rPr>
                <w:webHidden/>
              </w:rPr>
              <w:fldChar w:fldCharType="separate"/>
            </w:r>
            <w:r w:rsidR="00255B94">
              <w:rPr>
                <w:webHidden/>
              </w:rPr>
              <w:t>44</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44" w:history="1">
            <w:r w:rsidR="00255B94" w:rsidRPr="00823036">
              <w:rPr>
                <w:rStyle w:val="Kpr"/>
              </w:rPr>
              <w:t>4.2.5.Retail Sale Tariffs</w:t>
            </w:r>
            <w:r w:rsidR="00255B94">
              <w:rPr>
                <w:webHidden/>
              </w:rPr>
              <w:tab/>
            </w:r>
            <w:r w:rsidR="00255B94">
              <w:rPr>
                <w:webHidden/>
              </w:rPr>
              <w:fldChar w:fldCharType="begin"/>
            </w:r>
            <w:r w:rsidR="00255B94">
              <w:rPr>
                <w:webHidden/>
              </w:rPr>
              <w:instrText xml:space="preserve"> PAGEREF _Toc12956344 \h </w:instrText>
            </w:r>
            <w:r w:rsidR="00255B94">
              <w:rPr>
                <w:webHidden/>
              </w:rPr>
            </w:r>
            <w:r w:rsidR="00255B94">
              <w:rPr>
                <w:webHidden/>
              </w:rPr>
              <w:fldChar w:fldCharType="separate"/>
            </w:r>
            <w:r w:rsidR="00255B94">
              <w:rPr>
                <w:webHidden/>
              </w:rPr>
              <w:t>44</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45" w:history="1">
            <w:r w:rsidR="00255B94" w:rsidRPr="00823036">
              <w:rPr>
                <w:rStyle w:val="Kpr"/>
              </w:rPr>
              <w:t>4.2.6.License Fees</w:t>
            </w:r>
            <w:r w:rsidR="00255B94">
              <w:rPr>
                <w:webHidden/>
              </w:rPr>
              <w:tab/>
            </w:r>
            <w:r w:rsidR="00255B94">
              <w:rPr>
                <w:webHidden/>
              </w:rPr>
              <w:fldChar w:fldCharType="begin"/>
            </w:r>
            <w:r w:rsidR="00255B94">
              <w:rPr>
                <w:webHidden/>
              </w:rPr>
              <w:instrText xml:space="preserve"> PAGEREF _Toc12956345 \h </w:instrText>
            </w:r>
            <w:r w:rsidR="00255B94">
              <w:rPr>
                <w:webHidden/>
              </w:rPr>
            </w:r>
            <w:r w:rsidR="00255B94">
              <w:rPr>
                <w:webHidden/>
              </w:rPr>
              <w:fldChar w:fldCharType="separate"/>
            </w:r>
            <w:r w:rsidR="00255B94">
              <w:rPr>
                <w:webHidden/>
              </w:rPr>
              <w:t>45</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46" w:history="1">
            <w:r w:rsidR="00255B94" w:rsidRPr="00823036">
              <w:rPr>
                <w:rStyle w:val="Kpr"/>
              </w:rPr>
              <w:t>4.3.Petroleum Market Tariffs</w:t>
            </w:r>
            <w:r w:rsidR="00255B94">
              <w:rPr>
                <w:webHidden/>
              </w:rPr>
              <w:tab/>
            </w:r>
            <w:r w:rsidR="00255B94">
              <w:rPr>
                <w:webHidden/>
              </w:rPr>
              <w:fldChar w:fldCharType="begin"/>
            </w:r>
            <w:r w:rsidR="00255B94">
              <w:rPr>
                <w:webHidden/>
              </w:rPr>
              <w:instrText xml:space="preserve"> PAGEREF _Toc12956346 \h </w:instrText>
            </w:r>
            <w:r w:rsidR="00255B94">
              <w:rPr>
                <w:webHidden/>
              </w:rPr>
            </w:r>
            <w:r w:rsidR="00255B94">
              <w:rPr>
                <w:webHidden/>
              </w:rPr>
              <w:fldChar w:fldCharType="separate"/>
            </w:r>
            <w:r w:rsidR="00255B94">
              <w:rPr>
                <w:webHidden/>
              </w:rPr>
              <w:t>46</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47" w:history="1">
            <w:r w:rsidR="00255B94" w:rsidRPr="00823036">
              <w:rPr>
                <w:rStyle w:val="Kpr"/>
              </w:rPr>
              <w:t>4.3.1.License Fees</w:t>
            </w:r>
            <w:r w:rsidR="00255B94">
              <w:rPr>
                <w:webHidden/>
              </w:rPr>
              <w:tab/>
            </w:r>
            <w:r w:rsidR="00255B94">
              <w:rPr>
                <w:webHidden/>
              </w:rPr>
              <w:fldChar w:fldCharType="begin"/>
            </w:r>
            <w:r w:rsidR="00255B94">
              <w:rPr>
                <w:webHidden/>
              </w:rPr>
              <w:instrText xml:space="preserve"> PAGEREF _Toc12956347 \h </w:instrText>
            </w:r>
            <w:r w:rsidR="00255B94">
              <w:rPr>
                <w:webHidden/>
              </w:rPr>
            </w:r>
            <w:r w:rsidR="00255B94">
              <w:rPr>
                <w:webHidden/>
              </w:rPr>
              <w:fldChar w:fldCharType="separate"/>
            </w:r>
            <w:r w:rsidR="00255B94">
              <w:rPr>
                <w:webHidden/>
              </w:rPr>
              <w:t>47</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48" w:history="1">
            <w:r w:rsidR="00255B94" w:rsidRPr="00823036">
              <w:rPr>
                <w:rStyle w:val="Kpr"/>
              </w:rPr>
              <w:t>4.4.Prices in the Liquefied Petroleum Gases (LPG) Market</w:t>
            </w:r>
            <w:r w:rsidR="00255B94">
              <w:rPr>
                <w:webHidden/>
              </w:rPr>
              <w:tab/>
            </w:r>
            <w:r w:rsidR="00255B94">
              <w:rPr>
                <w:webHidden/>
              </w:rPr>
              <w:fldChar w:fldCharType="begin"/>
            </w:r>
            <w:r w:rsidR="00255B94">
              <w:rPr>
                <w:webHidden/>
              </w:rPr>
              <w:instrText xml:space="preserve"> PAGEREF _Toc12956348 \h </w:instrText>
            </w:r>
            <w:r w:rsidR="00255B94">
              <w:rPr>
                <w:webHidden/>
              </w:rPr>
            </w:r>
            <w:r w:rsidR="00255B94">
              <w:rPr>
                <w:webHidden/>
              </w:rPr>
              <w:fldChar w:fldCharType="separate"/>
            </w:r>
            <w:r w:rsidR="00255B94">
              <w:rPr>
                <w:webHidden/>
              </w:rPr>
              <w:t>47</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49" w:history="1">
            <w:r w:rsidR="00255B94" w:rsidRPr="00823036">
              <w:rPr>
                <w:rStyle w:val="Kpr"/>
              </w:rPr>
              <w:t>4.4.1.License Fees</w:t>
            </w:r>
            <w:r w:rsidR="00255B94">
              <w:rPr>
                <w:webHidden/>
              </w:rPr>
              <w:tab/>
            </w:r>
            <w:r w:rsidR="00255B94">
              <w:rPr>
                <w:webHidden/>
              </w:rPr>
              <w:fldChar w:fldCharType="begin"/>
            </w:r>
            <w:r w:rsidR="00255B94">
              <w:rPr>
                <w:webHidden/>
              </w:rPr>
              <w:instrText xml:space="preserve"> PAGEREF _Toc12956349 \h </w:instrText>
            </w:r>
            <w:r w:rsidR="00255B94">
              <w:rPr>
                <w:webHidden/>
              </w:rPr>
            </w:r>
            <w:r w:rsidR="00255B94">
              <w:rPr>
                <w:webHidden/>
              </w:rPr>
              <w:fldChar w:fldCharType="separate"/>
            </w:r>
            <w:r w:rsidR="00255B94">
              <w:rPr>
                <w:webHidden/>
              </w:rPr>
              <w:t>48</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50" w:history="1">
            <w:r w:rsidR="00255B94" w:rsidRPr="00823036">
              <w:rPr>
                <w:rStyle w:val="Kpr"/>
              </w:rPr>
              <w:t>5. INFORMATION SYSTEMS AND AUTOMATION ACTIVITIES</w:t>
            </w:r>
            <w:r w:rsidR="00255B94">
              <w:rPr>
                <w:webHidden/>
              </w:rPr>
              <w:tab/>
            </w:r>
            <w:r w:rsidR="00255B94">
              <w:rPr>
                <w:webHidden/>
              </w:rPr>
              <w:fldChar w:fldCharType="begin"/>
            </w:r>
            <w:r w:rsidR="00255B94">
              <w:rPr>
                <w:webHidden/>
              </w:rPr>
              <w:instrText xml:space="preserve"> PAGEREF _Toc12956350 \h </w:instrText>
            </w:r>
            <w:r w:rsidR="00255B94">
              <w:rPr>
                <w:webHidden/>
              </w:rPr>
            </w:r>
            <w:r w:rsidR="00255B94">
              <w:rPr>
                <w:webHidden/>
              </w:rPr>
              <w:fldChar w:fldCharType="separate"/>
            </w:r>
            <w:r w:rsidR="00255B94">
              <w:rPr>
                <w:webHidden/>
              </w:rPr>
              <w:t>48</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1" w:history="1">
            <w:r w:rsidR="00255B94" w:rsidRPr="00823036">
              <w:rPr>
                <w:rStyle w:val="Kpr"/>
              </w:rPr>
              <w:t>5.1.Information Security Management System (BGYS)</w:t>
            </w:r>
            <w:r w:rsidR="00255B94">
              <w:rPr>
                <w:webHidden/>
              </w:rPr>
              <w:tab/>
            </w:r>
            <w:r w:rsidR="00255B94">
              <w:rPr>
                <w:webHidden/>
              </w:rPr>
              <w:fldChar w:fldCharType="begin"/>
            </w:r>
            <w:r w:rsidR="00255B94">
              <w:rPr>
                <w:webHidden/>
              </w:rPr>
              <w:instrText xml:space="preserve"> PAGEREF _Toc12956351 \h </w:instrText>
            </w:r>
            <w:r w:rsidR="00255B94">
              <w:rPr>
                <w:webHidden/>
              </w:rPr>
            </w:r>
            <w:r w:rsidR="00255B94">
              <w:rPr>
                <w:webHidden/>
              </w:rPr>
              <w:fldChar w:fldCharType="separate"/>
            </w:r>
            <w:r w:rsidR="00255B94">
              <w:rPr>
                <w:webHidden/>
              </w:rPr>
              <w:t>48</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2" w:history="1">
            <w:r w:rsidR="00255B94" w:rsidRPr="00823036">
              <w:rPr>
                <w:rStyle w:val="Kpr"/>
              </w:rPr>
              <w:t>5.2.Energy Market Analysis and Reporting System (EPARS)</w:t>
            </w:r>
            <w:r w:rsidR="00255B94">
              <w:rPr>
                <w:webHidden/>
              </w:rPr>
              <w:tab/>
            </w:r>
            <w:r w:rsidR="00255B94">
              <w:rPr>
                <w:webHidden/>
              </w:rPr>
              <w:fldChar w:fldCharType="begin"/>
            </w:r>
            <w:r w:rsidR="00255B94">
              <w:rPr>
                <w:webHidden/>
              </w:rPr>
              <w:instrText xml:space="preserve"> PAGEREF _Toc12956352 \h </w:instrText>
            </w:r>
            <w:r w:rsidR="00255B94">
              <w:rPr>
                <w:webHidden/>
              </w:rPr>
            </w:r>
            <w:r w:rsidR="00255B94">
              <w:rPr>
                <w:webHidden/>
              </w:rPr>
              <w:fldChar w:fldCharType="separate"/>
            </w:r>
            <w:r w:rsidR="00255B94">
              <w:rPr>
                <w:webHidden/>
              </w:rPr>
              <w:t>49</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3" w:history="1">
            <w:r w:rsidR="00255B94" w:rsidRPr="00823036">
              <w:rPr>
                <w:rStyle w:val="Kpr"/>
              </w:rPr>
              <w:t>5.3.Electronic Document Management System(EBYS)</w:t>
            </w:r>
            <w:r w:rsidR="00255B94">
              <w:rPr>
                <w:webHidden/>
              </w:rPr>
              <w:tab/>
            </w:r>
            <w:r w:rsidR="00255B94">
              <w:rPr>
                <w:webHidden/>
              </w:rPr>
              <w:fldChar w:fldCharType="begin"/>
            </w:r>
            <w:r w:rsidR="00255B94">
              <w:rPr>
                <w:webHidden/>
              </w:rPr>
              <w:instrText xml:space="preserve"> PAGEREF _Toc12956353 \h </w:instrText>
            </w:r>
            <w:r w:rsidR="00255B94">
              <w:rPr>
                <w:webHidden/>
              </w:rPr>
            </w:r>
            <w:r w:rsidR="00255B94">
              <w:rPr>
                <w:webHidden/>
              </w:rPr>
              <w:fldChar w:fldCharType="separate"/>
            </w:r>
            <w:r w:rsidR="00255B94">
              <w:rPr>
                <w:webHidden/>
              </w:rPr>
              <w:t>49</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4" w:history="1">
            <w:r w:rsidR="00255B94" w:rsidRPr="00823036">
              <w:rPr>
                <w:rStyle w:val="Kpr"/>
              </w:rPr>
              <w:t>5.4.Authority’s web page</w:t>
            </w:r>
            <w:r w:rsidR="00255B94">
              <w:rPr>
                <w:webHidden/>
              </w:rPr>
              <w:tab/>
            </w:r>
            <w:r w:rsidR="00255B94">
              <w:rPr>
                <w:webHidden/>
              </w:rPr>
              <w:fldChar w:fldCharType="begin"/>
            </w:r>
            <w:r w:rsidR="00255B94">
              <w:rPr>
                <w:webHidden/>
              </w:rPr>
              <w:instrText xml:space="preserve"> PAGEREF _Toc12956354 \h </w:instrText>
            </w:r>
            <w:r w:rsidR="00255B94">
              <w:rPr>
                <w:webHidden/>
              </w:rPr>
            </w:r>
            <w:r w:rsidR="00255B94">
              <w:rPr>
                <w:webHidden/>
              </w:rPr>
              <w:fldChar w:fldCharType="separate"/>
            </w:r>
            <w:r w:rsidR="00255B94">
              <w:rPr>
                <w:webHidden/>
              </w:rPr>
              <w:t>50</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5" w:history="1">
            <w:r w:rsidR="00255B94" w:rsidRPr="00823036">
              <w:rPr>
                <w:rStyle w:val="Kpr"/>
              </w:rPr>
              <w:t>5.5.Energy Market Database Management System (EPVYS)</w:t>
            </w:r>
            <w:r w:rsidR="00255B94">
              <w:rPr>
                <w:webHidden/>
              </w:rPr>
              <w:tab/>
            </w:r>
            <w:r w:rsidR="00255B94">
              <w:rPr>
                <w:webHidden/>
              </w:rPr>
              <w:fldChar w:fldCharType="begin"/>
            </w:r>
            <w:r w:rsidR="00255B94">
              <w:rPr>
                <w:webHidden/>
              </w:rPr>
              <w:instrText xml:space="preserve"> PAGEREF _Toc12956355 \h </w:instrText>
            </w:r>
            <w:r w:rsidR="00255B94">
              <w:rPr>
                <w:webHidden/>
              </w:rPr>
            </w:r>
            <w:r w:rsidR="00255B94">
              <w:rPr>
                <w:webHidden/>
              </w:rPr>
              <w:fldChar w:fldCharType="separate"/>
            </w:r>
            <w:r w:rsidR="00255B94">
              <w:rPr>
                <w:webHidden/>
              </w:rPr>
              <w:t>50</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6" w:history="1">
            <w:r w:rsidR="00255B94" w:rsidRPr="00823036">
              <w:rPr>
                <w:rStyle w:val="Kpr"/>
              </w:rPr>
              <w:t>5.6.Data Sharing with other Institutions and Organiazations (Data Access and Sharing System(VEPS))</w:t>
            </w:r>
            <w:r w:rsidR="00255B94">
              <w:rPr>
                <w:webHidden/>
              </w:rPr>
              <w:tab/>
            </w:r>
            <w:r w:rsidR="00255B94">
              <w:rPr>
                <w:webHidden/>
              </w:rPr>
              <w:fldChar w:fldCharType="begin"/>
            </w:r>
            <w:r w:rsidR="00255B94">
              <w:rPr>
                <w:webHidden/>
              </w:rPr>
              <w:instrText xml:space="preserve"> PAGEREF _Toc12956356 \h </w:instrText>
            </w:r>
            <w:r w:rsidR="00255B94">
              <w:rPr>
                <w:webHidden/>
              </w:rPr>
            </w:r>
            <w:r w:rsidR="00255B94">
              <w:rPr>
                <w:webHidden/>
              </w:rPr>
              <w:fldChar w:fldCharType="separate"/>
            </w:r>
            <w:r w:rsidR="00255B94">
              <w:rPr>
                <w:webHidden/>
              </w:rPr>
              <w:t>51</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7" w:history="1">
            <w:r w:rsidR="00255B94" w:rsidRPr="00823036">
              <w:rPr>
                <w:rStyle w:val="Kpr"/>
              </w:rPr>
              <w:t>5.7.Electronic Notification System (EBİS)</w:t>
            </w:r>
            <w:r w:rsidR="00255B94">
              <w:rPr>
                <w:webHidden/>
              </w:rPr>
              <w:tab/>
            </w:r>
            <w:r w:rsidR="00255B94">
              <w:rPr>
                <w:webHidden/>
              </w:rPr>
              <w:fldChar w:fldCharType="begin"/>
            </w:r>
            <w:r w:rsidR="00255B94">
              <w:rPr>
                <w:webHidden/>
              </w:rPr>
              <w:instrText xml:space="preserve"> PAGEREF _Toc12956357 \h </w:instrText>
            </w:r>
            <w:r w:rsidR="00255B94">
              <w:rPr>
                <w:webHidden/>
              </w:rPr>
            </w:r>
            <w:r w:rsidR="00255B94">
              <w:rPr>
                <w:webHidden/>
              </w:rPr>
              <w:fldChar w:fldCharType="separate"/>
            </w:r>
            <w:r w:rsidR="00255B94">
              <w:rPr>
                <w:webHidden/>
              </w:rPr>
              <w:t>51</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8" w:history="1">
            <w:r w:rsidR="00255B94" w:rsidRPr="00823036">
              <w:rPr>
                <w:rStyle w:val="Kpr"/>
              </w:rPr>
              <w:t>5.8.Institutional Resource Planning (KKP)</w:t>
            </w:r>
            <w:r w:rsidR="00255B94">
              <w:rPr>
                <w:webHidden/>
              </w:rPr>
              <w:tab/>
            </w:r>
            <w:r w:rsidR="00255B94">
              <w:rPr>
                <w:webHidden/>
              </w:rPr>
              <w:fldChar w:fldCharType="begin"/>
            </w:r>
            <w:r w:rsidR="00255B94">
              <w:rPr>
                <w:webHidden/>
              </w:rPr>
              <w:instrText xml:space="preserve"> PAGEREF _Toc12956358 \h </w:instrText>
            </w:r>
            <w:r w:rsidR="00255B94">
              <w:rPr>
                <w:webHidden/>
              </w:rPr>
            </w:r>
            <w:r w:rsidR="00255B94">
              <w:rPr>
                <w:webHidden/>
              </w:rPr>
              <w:fldChar w:fldCharType="separate"/>
            </w:r>
            <w:r w:rsidR="00255B94">
              <w:rPr>
                <w:webHidden/>
              </w:rPr>
              <w:t>52</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59" w:history="1">
            <w:r w:rsidR="00255B94" w:rsidRPr="00823036">
              <w:rPr>
                <w:rStyle w:val="Kpr"/>
              </w:rPr>
              <w:t>5.9.Hardware and System Support Works</w:t>
            </w:r>
            <w:r w:rsidR="00255B94">
              <w:rPr>
                <w:webHidden/>
              </w:rPr>
              <w:tab/>
            </w:r>
            <w:r w:rsidR="00255B94">
              <w:rPr>
                <w:webHidden/>
              </w:rPr>
              <w:fldChar w:fldCharType="begin"/>
            </w:r>
            <w:r w:rsidR="00255B94">
              <w:rPr>
                <w:webHidden/>
              </w:rPr>
              <w:instrText xml:space="preserve"> PAGEREF _Toc12956359 \h </w:instrText>
            </w:r>
            <w:r w:rsidR="00255B94">
              <w:rPr>
                <w:webHidden/>
              </w:rPr>
            </w:r>
            <w:r w:rsidR="00255B94">
              <w:rPr>
                <w:webHidden/>
              </w:rPr>
              <w:fldChar w:fldCharType="separate"/>
            </w:r>
            <w:r w:rsidR="00255B94">
              <w:rPr>
                <w:webHidden/>
              </w:rPr>
              <w:t>52</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60" w:history="1">
            <w:r w:rsidR="00255B94" w:rsidRPr="00823036">
              <w:rPr>
                <w:rStyle w:val="Kpr"/>
              </w:rPr>
              <w:t>6.     AUDIT</w:t>
            </w:r>
            <w:r w:rsidR="00255B94">
              <w:rPr>
                <w:webHidden/>
              </w:rPr>
              <w:tab/>
            </w:r>
            <w:r w:rsidR="00255B94">
              <w:rPr>
                <w:webHidden/>
              </w:rPr>
              <w:fldChar w:fldCharType="begin"/>
            </w:r>
            <w:r w:rsidR="00255B94">
              <w:rPr>
                <w:webHidden/>
              </w:rPr>
              <w:instrText xml:space="preserve"> PAGEREF _Toc12956360 \h </w:instrText>
            </w:r>
            <w:r w:rsidR="00255B94">
              <w:rPr>
                <w:webHidden/>
              </w:rPr>
            </w:r>
            <w:r w:rsidR="00255B94">
              <w:rPr>
                <w:webHidden/>
              </w:rPr>
              <w:fldChar w:fldCharType="separate"/>
            </w:r>
            <w:r w:rsidR="00255B94">
              <w:rPr>
                <w:webHidden/>
              </w:rPr>
              <w:t>53</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61" w:history="1">
            <w:r w:rsidR="00255B94" w:rsidRPr="00823036">
              <w:rPr>
                <w:rStyle w:val="Kpr"/>
              </w:rPr>
              <w:t>6.1.Electricity Market Audit Activities</w:t>
            </w:r>
            <w:r w:rsidR="00255B94">
              <w:rPr>
                <w:webHidden/>
              </w:rPr>
              <w:tab/>
            </w:r>
            <w:r w:rsidR="00255B94">
              <w:rPr>
                <w:webHidden/>
              </w:rPr>
              <w:fldChar w:fldCharType="begin"/>
            </w:r>
            <w:r w:rsidR="00255B94">
              <w:rPr>
                <w:webHidden/>
              </w:rPr>
              <w:instrText xml:space="preserve"> PAGEREF _Toc12956361 \h </w:instrText>
            </w:r>
            <w:r w:rsidR="00255B94">
              <w:rPr>
                <w:webHidden/>
              </w:rPr>
            </w:r>
            <w:r w:rsidR="00255B94">
              <w:rPr>
                <w:webHidden/>
              </w:rPr>
              <w:fldChar w:fldCharType="separate"/>
            </w:r>
            <w:r w:rsidR="00255B94">
              <w:rPr>
                <w:webHidden/>
              </w:rPr>
              <w:t>53</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62" w:history="1">
            <w:r w:rsidR="00255B94" w:rsidRPr="00823036">
              <w:rPr>
                <w:rStyle w:val="Kpr"/>
              </w:rPr>
              <w:t>6.2.Natural Gas Market Investigation and Audit Activities</w:t>
            </w:r>
            <w:r w:rsidR="00255B94">
              <w:rPr>
                <w:webHidden/>
              </w:rPr>
              <w:tab/>
            </w:r>
            <w:r w:rsidR="00255B94">
              <w:rPr>
                <w:webHidden/>
              </w:rPr>
              <w:fldChar w:fldCharType="begin"/>
            </w:r>
            <w:r w:rsidR="00255B94">
              <w:rPr>
                <w:webHidden/>
              </w:rPr>
              <w:instrText xml:space="preserve"> PAGEREF _Toc12956362 \h </w:instrText>
            </w:r>
            <w:r w:rsidR="00255B94">
              <w:rPr>
                <w:webHidden/>
              </w:rPr>
            </w:r>
            <w:r w:rsidR="00255B94">
              <w:rPr>
                <w:webHidden/>
              </w:rPr>
              <w:fldChar w:fldCharType="separate"/>
            </w:r>
            <w:r w:rsidR="00255B94">
              <w:rPr>
                <w:webHidden/>
              </w:rPr>
              <w:t>53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63" w:history="1">
            <w:r w:rsidR="00255B94" w:rsidRPr="00823036">
              <w:rPr>
                <w:rStyle w:val="Kpr"/>
              </w:rPr>
              <w:t>6.2.1.5 Year Investment Obligations of Natural Gas Distribution Companies</w:t>
            </w:r>
            <w:r w:rsidR="00255B94">
              <w:rPr>
                <w:webHidden/>
              </w:rPr>
              <w:tab/>
            </w:r>
            <w:r w:rsidR="00255B94">
              <w:rPr>
                <w:webHidden/>
              </w:rPr>
              <w:fldChar w:fldCharType="begin"/>
            </w:r>
            <w:r w:rsidR="00255B94">
              <w:rPr>
                <w:webHidden/>
              </w:rPr>
              <w:instrText xml:space="preserve"> PAGEREF _Toc12956363 \h </w:instrText>
            </w:r>
            <w:r w:rsidR="00255B94">
              <w:rPr>
                <w:webHidden/>
              </w:rPr>
            </w:r>
            <w:r w:rsidR="00255B94">
              <w:rPr>
                <w:webHidden/>
              </w:rPr>
              <w:fldChar w:fldCharType="separate"/>
            </w:r>
            <w:r w:rsidR="00255B94">
              <w:rPr>
                <w:webHidden/>
              </w:rPr>
              <w:t>53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64" w:history="1">
            <w:r w:rsidR="00255B94" w:rsidRPr="00823036">
              <w:rPr>
                <w:rStyle w:val="Kpr"/>
              </w:rPr>
              <w:t>6.2.2. Natural Gas Market Audit Activities</w:t>
            </w:r>
            <w:r w:rsidR="00255B94">
              <w:rPr>
                <w:webHidden/>
              </w:rPr>
              <w:tab/>
            </w:r>
            <w:r w:rsidR="00255B94">
              <w:rPr>
                <w:webHidden/>
              </w:rPr>
              <w:fldChar w:fldCharType="begin"/>
            </w:r>
            <w:r w:rsidR="00255B94">
              <w:rPr>
                <w:webHidden/>
              </w:rPr>
              <w:instrText xml:space="preserve"> PAGEREF _Toc12956364 \h </w:instrText>
            </w:r>
            <w:r w:rsidR="00255B94">
              <w:rPr>
                <w:webHidden/>
              </w:rPr>
            </w:r>
            <w:r w:rsidR="00255B94">
              <w:rPr>
                <w:webHidden/>
              </w:rPr>
              <w:fldChar w:fldCharType="separate"/>
            </w:r>
            <w:r w:rsidR="00255B94">
              <w:rPr>
                <w:webHidden/>
              </w:rPr>
              <w:t>54</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65" w:history="1">
            <w:r w:rsidR="00255B94" w:rsidRPr="00823036">
              <w:rPr>
                <w:rStyle w:val="Kpr"/>
              </w:rPr>
              <w:t>6.3.Petroleum Market Audit Activities</w:t>
            </w:r>
            <w:r w:rsidR="00255B94">
              <w:rPr>
                <w:webHidden/>
              </w:rPr>
              <w:tab/>
            </w:r>
            <w:r w:rsidR="00255B94">
              <w:rPr>
                <w:webHidden/>
              </w:rPr>
              <w:fldChar w:fldCharType="begin"/>
            </w:r>
            <w:r w:rsidR="00255B94">
              <w:rPr>
                <w:webHidden/>
              </w:rPr>
              <w:instrText xml:space="preserve"> PAGEREF _Toc12956365 \h </w:instrText>
            </w:r>
            <w:r w:rsidR="00255B94">
              <w:rPr>
                <w:webHidden/>
              </w:rPr>
            </w:r>
            <w:r w:rsidR="00255B94">
              <w:rPr>
                <w:webHidden/>
              </w:rPr>
              <w:fldChar w:fldCharType="separate"/>
            </w:r>
            <w:r w:rsidR="00255B94">
              <w:rPr>
                <w:webHidden/>
              </w:rPr>
              <w:t>54</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66" w:history="1">
            <w:r w:rsidR="00255B94" w:rsidRPr="00823036">
              <w:rPr>
                <w:rStyle w:val="Kpr"/>
              </w:rPr>
              <w:t>6.4 Liquefied Petroleum Gases Auditing Activities</w:t>
            </w:r>
            <w:r w:rsidR="00255B94">
              <w:rPr>
                <w:webHidden/>
              </w:rPr>
              <w:tab/>
            </w:r>
            <w:r w:rsidR="00255B94">
              <w:rPr>
                <w:webHidden/>
              </w:rPr>
              <w:fldChar w:fldCharType="begin"/>
            </w:r>
            <w:r w:rsidR="00255B94">
              <w:rPr>
                <w:webHidden/>
              </w:rPr>
              <w:instrText xml:space="preserve"> PAGEREF _Toc12956366 \h </w:instrText>
            </w:r>
            <w:r w:rsidR="00255B94">
              <w:rPr>
                <w:webHidden/>
              </w:rPr>
            </w:r>
            <w:r w:rsidR="00255B94">
              <w:rPr>
                <w:webHidden/>
              </w:rPr>
              <w:fldChar w:fldCharType="separate"/>
            </w:r>
            <w:r w:rsidR="00255B94">
              <w:rPr>
                <w:webHidden/>
              </w:rPr>
              <w:t>57</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67" w:history="1">
            <w:r w:rsidR="00255B94" w:rsidRPr="00823036">
              <w:rPr>
                <w:rStyle w:val="Kpr"/>
              </w:rPr>
              <w:t>7.   EXPROPRIATION, LEASING and ESTABLSIHMENT OF EASEMENT RIGHT</w:t>
            </w:r>
            <w:r w:rsidR="00255B94">
              <w:rPr>
                <w:webHidden/>
              </w:rPr>
              <w:tab/>
            </w:r>
            <w:r w:rsidR="00255B94">
              <w:rPr>
                <w:webHidden/>
              </w:rPr>
              <w:fldChar w:fldCharType="begin"/>
            </w:r>
            <w:r w:rsidR="00255B94">
              <w:rPr>
                <w:webHidden/>
              </w:rPr>
              <w:instrText xml:space="preserve"> PAGEREF _Toc12956367 \h </w:instrText>
            </w:r>
            <w:r w:rsidR="00255B94">
              <w:rPr>
                <w:webHidden/>
              </w:rPr>
            </w:r>
            <w:r w:rsidR="00255B94">
              <w:rPr>
                <w:webHidden/>
              </w:rPr>
              <w:fldChar w:fldCharType="separate"/>
            </w:r>
            <w:r w:rsidR="00255B94">
              <w:rPr>
                <w:webHidden/>
              </w:rPr>
              <w:t>59</w:t>
            </w:r>
            <w:r w:rsidR="00255B94">
              <w:rPr>
                <w:webHidden/>
              </w:rPr>
              <w:fldChar w:fldCharType="end"/>
            </w:r>
          </w:hyperlink>
        </w:p>
        <w:p w:rsidR="00255B94" w:rsidRDefault="008C28A7">
          <w:pPr>
            <w:pStyle w:val="T1"/>
            <w:tabs>
              <w:tab w:val="left" w:pos="440"/>
              <w:tab w:val="right" w:leader="dot" w:pos="9396"/>
            </w:tabs>
            <w:rPr>
              <w:rFonts w:eastAsiaTheme="minorEastAsia"/>
              <w:lang w:val="tr-TR" w:eastAsia="tr-TR"/>
            </w:rPr>
          </w:pPr>
          <w:hyperlink w:anchor="_Toc12956368" w:history="1">
            <w:r w:rsidR="00255B94" w:rsidRPr="00823036">
              <w:rPr>
                <w:rStyle w:val="Kpr"/>
              </w:rPr>
              <w:t>8.</w:t>
            </w:r>
            <w:r w:rsidR="00255B94">
              <w:rPr>
                <w:rFonts w:eastAsiaTheme="minorEastAsia"/>
                <w:lang w:val="tr-TR" w:eastAsia="tr-TR"/>
              </w:rPr>
              <w:tab/>
            </w:r>
            <w:r w:rsidR="00255B94" w:rsidRPr="00823036">
              <w:rPr>
                <w:rStyle w:val="Kpr"/>
              </w:rPr>
              <w:t>LEGAL WORKS</w:t>
            </w:r>
            <w:r w:rsidR="00255B94">
              <w:rPr>
                <w:webHidden/>
              </w:rPr>
              <w:tab/>
            </w:r>
            <w:r w:rsidR="00255B94">
              <w:rPr>
                <w:webHidden/>
              </w:rPr>
              <w:fldChar w:fldCharType="begin"/>
            </w:r>
            <w:r w:rsidR="00255B94">
              <w:rPr>
                <w:webHidden/>
              </w:rPr>
              <w:instrText xml:space="preserve"> PAGEREF _Toc12956368 \h </w:instrText>
            </w:r>
            <w:r w:rsidR="00255B94">
              <w:rPr>
                <w:webHidden/>
              </w:rPr>
            </w:r>
            <w:r w:rsidR="00255B94">
              <w:rPr>
                <w:webHidden/>
              </w:rPr>
              <w:fldChar w:fldCharType="separate"/>
            </w:r>
            <w:r w:rsidR="00255B94">
              <w:rPr>
                <w:webHidden/>
              </w:rPr>
              <w:t>61</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69" w:history="1">
            <w:r w:rsidR="00255B94" w:rsidRPr="00823036">
              <w:rPr>
                <w:rStyle w:val="Kpr"/>
              </w:rPr>
              <w:t>8.1.Litigation Procedures</w:t>
            </w:r>
            <w:r w:rsidR="00255B94">
              <w:rPr>
                <w:webHidden/>
              </w:rPr>
              <w:tab/>
            </w:r>
            <w:r w:rsidR="00255B94">
              <w:rPr>
                <w:webHidden/>
              </w:rPr>
              <w:fldChar w:fldCharType="begin"/>
            </w:r>
            <w:r w:rsidR="00255B94">
              <w:rPr>
                <w:webHidden/>
              </w:rPr>
              <w:instrText xml:space="preserve"> PAGEREF _Toc12956369 \h </w:instrText>
            </w:r>
            <w:r w:rsidR="00255B94">
              <w:rPr>
                <w:webHidden/>
              </w:rPr>
            </w:r>
            <w:r w:rsidR="00255B94">
              <w:rPr>
                <w:webHidden/>
              </w:rPr>
              <w:fldChar w:fldCharType="separate"/>
            </w:r>
            <w:r w:rsidR="00255B94">
              <w:rPr>
                <w:webHidden/>
              </w:rPr>
              <w:t>61</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70" w:history="1">
            <w:r w:rsidR="00255B94" w:rsidRPr="00823036">
              <w:rPr>
                <w:rStyle w:val="Kpr"/>
              </w:rPr>
              <w:t>8.2. Providing Opinion</w:t>
            </w:r>
            <w:r w:rsidR="00255B94">
              <w:rPr>
                <w:webHidden/>
              </w:rPr>
              <w:tab/>
            </w:r>
            <w:r w:rsidR="00255B94">
              <w:rPr>
                <w:webHidden/>
              </w:rPr>
              <w:fldChar w:fldCharType="begin"/>
            </w:r>
            <w:r w:rsidR="00255B94">
              <w:rPr>
                <w:webHidden/>
              </w:rPr>
              <w:instrText xml:space="preserve"> PAGEREF _Toc12956370 \h </w:instrText>
            </w:r>
            <w:r w:rsidR="00255B94">
              <w:rPr>
                <w:webHidden/>
              </w:rPr>
            </w:r>
            <w:r w:rsidR="00255B94">
              <w:rPr>
                <w:webHidden/>
              </w:rPr>
              <w:fldChar w:fldCharType="separate"/>
            </w:r>
            <w:r w:rsidR="00255B94">
              <w:rPr>
                <w:webHidden/>
              </w:rPr>
              <w:t>64</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71" w:history="1">
            <w:r w:rsidR="00255B94" w:rsidRPr="00823036">
              <w:rPr>
                <w:rStyle w:val="Kpr"/>
              </w:rPr>
              <w:t>9. PROTECTING CONSUMERS’ RIGHTS</w:t>
            </w:r>
            <w:r w:rsidR="00255B94">
              <w:rPr>
                <w:webHidden/>
              </w:rPr>
              <w:tab/>
            </w:r>
            <w:r w:rsidR="00255B94">
              <w:rPr>
                <w:webHidden/>
              </w:rPr>
              <w:fldChar w:fldCharType="begin"/>
            </w:r>
            <w:r w:rsidR="00255B94">
              <w:rPr>
                <w:webHidden/>
              </w:rPr>
              <w:instrText xml:space="preserve"> PAGEREF _Toc12956371 \h </w:instrText>
            </w:r>
            <w:r w:rsidR="00255B94">
              <w:rPr>
                <w:webHidden/>
              </w:rPr>
            </w:r>
            <w:r w:rsidR="00255B94">
              <w:rPr>
                <w:webHidden/>
              </w:rPr>
              <w:fldChar w:fldCharType="separate"/>
            </w:r>
            <w:r w:rsidR="00255B94">
              <w:rPr>
                <w:webHidden/>
              </w:rPr>
              <w:t>66</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72" w:history="1">
            <w:r w:rsidR="00255B94" w:rsidRPr="00823036">
              <w:rPr>
                <w:rStyle w:val="Kpr"/>
              </w:rPr>
              <w:t>9.1.Creating and Developing Customer Awareness</w:t>
            </w:r>
            <w:r w:rsidR="00255B94">
              <w:rPr>
                <w:webHidden/>
              </w:rPr>
              <w:tab/>
            </w:r>
            <w:r w:rsidR="00255B94">
              <w:rPr>
                <w:webHidden/>
              </w:rPr>
              <w:fldChar w:fldCharType="begin"/>
            </w:r>
            <w:r w:rsidR="00255B94">
              <w:rPr>
                <w:webHidden/>
              </w:rPr>
              <w:instrText xml:space="preserve"> PAGEREF _Toc12956372 \h </w:instrText>
            </w:r>
            <w:r w:rsidR="00255B94">
              <w:rPr>
                <w:webHidden/>
              </w:rPr>
            </w:r>
            <w:r w:rsidR="00255B94">
              <w:rPr>
                <w:webHidden/>
              </w:rPr>
              <w:fldChar w:fldCharType="separate"/>
            </w:r>
            <w:r w:rsidR="00255B94">
              <w:rPr>
                <w:webHidden/>
              </w:rPr>
              <w:t>66</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73" w:history="1">
            <w:r w:rsidR="00255B94" w:rsidRPr="00823036">
              <w:rPr>
                <w:rStyle w:val="Kpr"/>
              </w:rPr>
              <w:t>9.2.Evaluation of Consumer complaints</w:t>
            </w:r>
            <w:r w:rsidR="00255B94">
              <w:rPr>
                <w:webHidden/>
              </w:rPr>
              <w:tab/>
            </w:r>
            <w:r w:rsidR="00255B94">
              <w:rPr>
                <w:webHidden/>
              </w:rPr>
              <w:fldChar w:fldCharType="begin"/>
            </w:r>
            <w:r w:rsidR="00255B94">
              <w:rPr>
                <w:webHidden/>
              </w:rPr>
              <w:instrText xml:space="preserve"> PAGEREF _Toc12956373 \h </w:instrText>
            </w:r>
            <w:r w:rsidR="00255B94">
              <w:rPr>
                <w:webHidden/>
              </w:rPr>
            </w:r>
            <w:r w:rsidR="00255B94">
              <w:rPr>
                <w:webHidden/>
              </w:rPr>
              <w:fldChar w:fldCharType="separate"/>
            </w:r>
            <w:r w:rsidR="00255B94">
              <w:rPr>
                <w:webHidden/>
              </w:rPr>
              <w:t>67</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74" w:history="1">
            <w:r w:rsidR="00255B94" w:rsidRPr="00823036">
              <w:rPr>
                <w:rStyle w:val="Kpr"/>
              </w:rPr>
              <w:t>9.2.1. Information Acquisition/Complaint numbers and channels</w:t>
            </w:r>
            <w:r w:rsidR="00255B94">
              <w:rPr>
                <w:webHidden/>
              </w:rPr>
              <w:tab/>
            </w:r>
            <w:r w:rsidR="00255B94">
              <w:rPr>
                <w:webHidden/>
              </w:rPr>
              <w:fldChar w:fldCharType="begin"/>
            </w:r>
            <w:r w:rsidR="00255B94">
              <w:rPr>
                <w:webHidden/>
              </w:rPr>
              <w:instrText xml:space="preserve"> PAGEREF _Toc12956374 \h </w:instrText>
            </w:r>
            <w:r w:rsidR="00255B94">
              <w:rPr>
                <w:webHidden/>
              </w:rPr>
            </w:r>
            <w:r w:rsidR="00255B94">
              <w:rPr>
                <w:webHidden/>
              </w:rPr>
              <w:fldChar w:fldCharType="separate"/>
            </w:r>
            <w:r w:rsidR="00255B94">
              <w:rPr>
                <w:webHidden/>
              </w:rPr>
              <w:t>67</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75" w:history="1">
            <w:r w:rsidR="00255B94" w:rsidRPr="00823036">
              <w:rPr>
                <w:rStyle w:val="Kpr"/>
              </w:rPr>
              <w:t>9.2.2. Sectoral dispersion of the complaint notifications</w:t>
            </w:r>
            <w:r w:rsidR="00255B94">
              <w:rPr>
                <w:webHidden/>
              </w:rPr>
              <w:tab/>
            </w:r>
            <w:r w:rsidR="00255B94">
              <w:rPr>
                <w:webHidden/>
              </w:rPr>
              <w:fldChar w:fldCharType="begin"/>
            </w:r>
            <w:r w:rsidR="00255B94">
              <w:rPr>
                <w:webHidden/>
              </w:rPr>
              <w:instrText xml:space="preserve"> PAGEREF _Toc12956375 \h </w:instrText>
            </w:r>
            <w:r w:rsidR="00255B94">
              <w:rPr>
                <w:webHidden/>
              </w:rPr>
            </w:r>
            <w:r w:rsidR="00255B94">
              <w:rPr>
                <w:webHidden/>
              </w:rPr>
              <w:fldChar w:fldCharType="separate"/>
            </w:r>
            <w:r w:rsidR="00255B94">
              <w:rPr>
                <w:webHidden/>
              </w:rPr>
              <w:t>69</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76" w:history="1">
            <w:r w:rsidR="00255B94" w:rsidRPr="00823036">
              <w:rPr>
                <w:rStyle w:val="Kpr"/>
              </w:rPr>
              <w:t>9.2.2. Classification of complaints and realizations in the Electricity Sector</w:t>
            </w:r>
            <w:r w:rsidR="00255B94">
              <w:rPr>
                <w:webHidden/>
              </w:rPr>
              <w:tab/>
            </w:r>
            <w:r w:rsidR="00255B94">
              <w:rPr>
                <w:webHidden/>
              </w:rPr>
              <w:fldChar w:fldCharType="begin"/>
            </w:r>
            <w:r w:rsidR="00255B94">
              <w:rPr>
                <w:webHidden/>
              </w:rPr>
              <w:instrText xml:space="preserve"> PAGEREF _Toc12956376 \h </w:instrText>
            </w:r>
            <w:r w:rsidR="00255B94">
              <w:rPr>
                <w:webHidden/>
              </w:rPr>
            </w:r>
            <w:r w:rsidR="00255B94">
              <w:rPr>
                <w:webHidden/>
              </w:rPr>
              <w:fldChar w:fldCharType="separate"/>
            </w:r>
            <w:r w:rsidR="00255B94">
              <w:rPr>
                <w:webHidden/>
              </w:rPr>
              <w:t>71</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77" w:history="1">
            <w:r w:rsidR="00255B94" w:rsidRPr="00823036">
              <w:rPr>
                <w:rStyle w:val="Kpr"/>
              </w:rPr>
              <w:t>9.2.3. Classification of Complaints and Realizations in Natural Gas Sector</w:t>
            </w:r>
            <w:r w:rsidR="00255B94">
              <w:rPr>
                <w:webHidden/>
              </w:rPr>
              <w:tab/>
            </w:r>
            <w:r w:rsidR="00255B94">
              <w:rPr>
                <w:webHidden/>
              </w:rPr>
              <w:fldChar w:fldCharType="begin"/>
            </w:r>
            <w:r w:rsidR="00255B94">
              <w:rPr>
                <w:webHidden/>
              </w:rPr>
              <w:instrText xml:space="preserve"> PAGEREF _Toc12956377 \h </w:instrText>
            </w:r>
            <w:r w:rsidR="00255B94">
              <w:rPr>
                <w:webHidden/>
              </w:rPr>
            </w:r>
            <w:r w:rsidR="00255B94">
              <w:rPr>
                <w:webHidden/>
              </w:rPr>
              <w:fldChar w:fldCharType="separate"/>
            </w:r>
            <w:r w:rsidR="00255B94">
              <w:rPr>
                <w:webHidden/>
              </w:rPr>
              <w:t>73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78" w:history="1">
            <w:r w:rsidR="00255B94" w:rsidRPr="00823036">
              <w:rPr>
                <w:rStyle w:val="Kpr"/>
              </w:rPr>
              <w:t>9.2.4. Classification of Complaints and realizations in the Petroleum Sector</w:t>
            </w:r>
            <w:r w:rsidR="00255B94">
              <w:rPr>
                <w:webHidden/>
              </w:rPr>
              <w:tab/>
            </w:r>
            <w:r w:rsidR="00255B94">
              <w:rPr>
                <w:webHidden/>
              </w:rPr>
              <w:fldChar w:fldCharType="begin"/>
            </w:r>
            <w:r w:rsidR="00255B94">
              <w:rPr>
                <w:webHidden/>
              </w:rPr>
              <w:instrText xml:space="preserve"> PAGEREF _Toc12956378 \h </w:instrText>
            </w:r>
            <w:r w:rsidR="00255B94">
              <w:rPr>
                <w:webHidden/>
              </w:rPr>
            </w:r>
            <w:r w:rsidR="00255B94">
              <w:rPr>
                <w:webHidden/>
              </w:rPr>
              <w:fldChar w:fldCharType="separate"/>
            </w:r>
            <w:r w:rsidR="00255B94">
              <w:rPr>
                <w:webHidden/>
              </w:rPr>
              <w:t>74</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79" w:history="1">
            <w:r w:rsidR="00255B94" w:rsidRPr="00823036">
              <w:rPr>
                <w:rStyle w:val="Kpr"/>
              </w:rPr>
              <w:t>9.2.5. Classification and Realizations of Liquefied Petroleum Gases (LPG) Complaints</w:t>
            </w:r>
            <w:r w:rsidR="00255B94">
              <w:rPr>
                <w:webHidden/>
              </w:rPr>
              <w:tab/>
            </w:r>
            <w:r w:rsidR="00255B94">
              <w:rPr>
                <w:webHidden/>
              </w:rPr>
              <w:fldChar w:fldCharType="begin"/>
            </w:r>
            <w:r w:rsidR="00255B94">
              <w:rPr>
                <w:webHidden/>
              </w:rPr>
              <w:instrText xml:space="preserve"> PAGEREF _Toc12956379 \h </w:instrText>
            </w:r>
            <w:r w:rsidR="00255B94">
              <w:rPr>
                <w:webHidden/>
              </w:rPr>
            </w:r>
            <w:r w:rsidR="00255B94">
              <w:rPr>
                <w:webHidden/>
              </w:rPr>
              <w:fldChar w:fldCharType="separate"/>
            </w:r>
            <w:r w:rsidR="00255B94">
              <w:rPr>
                <w:webHidden/>
              </w:rPr>
              <w:t>74</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80" w:history="1">
            <w:r w:rsidR="00255B94" w:rsidRPr="00823036">
              <w:rPr>
                <w:rStyle w:val="Kpr"/>
              </w:rPr>
              <w:t>10. PRESS AND PUBLIC RELATIONS</w:t>
            </w:r>
            <w:r w:rsidR="00255B94">
              <w:rPr>
                <w:webHidden/>
              </w:rPr>
              <w:tab/>
            </w:r>
            <w:r w:rsidR="00255B94">
              <w:rPr>
                <w:webHidden/>
              </w:rPr>
              <w:fldChar w:fldCharType="begin"/>
            </w:r>
            <w:r w:rsidR="00255B94">
              <w:rPr>
                <w:webHidden/>
              </w:rPr>
              <w:instrText xml:space="preserve"> PAGEREF _Toc12956380 \h </w:instrText>
            </w:r>
            <w:r w:rsidR="00255B94">
              <w:rPr>
                <w:webHidden/>
              </w:rPr>
            </w:r>
            <w:r w:rsidR="00255B94">
              <w:rPr>
                <w:webHidden/>
              </w:rPr>
              <w:fldChar w:fldCharType="separate"/>
            </w:r>
            <w:r w:rsidR="00255B94">
              <w:rPr>
                <w:webHidden/>
              </w:rPr>
              <w:t>74</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81" w:history="1">
            <w:r w:rsidR="00255B94" w:rsidRPr="00823036">
              <w:rPr>
                <w:rStyle w:val="Kpr"/>
              </w:rPr>
              <w:t>11. RELATIONS WITH OTHER INSTITUTIONS</w:t>
            </w:r>
            <w:r w:rsidR="00255B94">
              <w:rPr>
                <w:webHidden/>
              </w:rPr>
              <w:tab/>
            </w:r>
            <w:r w:rsidR="00255B94">
              <w:rPr>
                <w:webHidden/>
              </w:rPr>
              <w:fldChar w:fldCharType="begin"/>
            </w:r>
            <w:r w:rsidR="00255B94">
              <w:rPr>
                <w:webHidden/>
              </w:rPr>
              <w:instrText xml:space="preserve"> PAGEREF _Toc12956381 \h </w:instrText>
            </w:r>
            <w:r w:rsidR="00255B94">
              <w:rPr>
                <w:webHidden/>
              </w:rPr>
            </w:r>
            <w:r w:rsidR="00255B94">
              <w:rPr>
                <w:webHidden/>
              </w:rPr>
              <w:fldChar w:fldCharType="separate"/>
            </w:r>
            <w:r w:rsidR="00255B94">
              <w:rPr>
                <w:webHidden/>
              </w:rPr>
              <w:t>75</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82" w:history="1">
            <w:r w:rsidR="00255B94" w:rsidRPr="00823036">
              <w:rPr>
                <w:rStyle w:val="Kpr"/>
              </w:rPr>
              <w:t>12.  EXTERNAL RELATIONS</w:t>
            </w:r>
            <w:r w:rsidR="00255B94">
              <w:rPr>
                <w:webHidden/>
              </w:rPr>
              <w:tab/>
            </w:r>
            <w:r w:rsidR="00255B94">
              <w:rPr>
                <w:webHidden/>
              </w:rPr>
              <w:fldChar w:fldCharType="begin"/>
            </w:r>
            <w:r w:rsidR="00255B94">
              <w:rPr>
                <w:webHidden/>
              </w:rPr>
              <w:instrText xml:space="preserve"> PAGEREF _Toc12956382 \h </w:instrText>
            </w:r>
            <w:r w:rsidR="00255B94">
              <w:rPr>
                <w:webHidden/>
              </w:rPr>
            </w:r>
            <w:r w:rsidR="00255B94">
              <w:rPr>
                <w:webHidden/>
              </w:rPr>
              <w:fldChar w:fldCharType="separate"/>
            </w:r>
            <w:r w:rsidR="00255B94">
              <w:rPr>
                <w:webHidden/>
              </w:rPr>
              <w:t>76</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83" w:history="1">
            <w:r w:rsidR="00255B94" w:rsidRPr="00823036">
              <w:rPr>
                <w:rStyle w:val="Kpr"/>
              </w:rPr>
              <w:t>12.1. Relations with the Regional Associations of which EMRA is a Member</w:t>
            </w:r>
            <w:r w:rsidR="00255B94">
              <w:rPr>
                <w:webHidden/>
              </w:rPr>
              <w:tab/>
            </w:r>
            <w:r w:rsidR="00255B94">
              <w:rPr>
                <w:webHidden/>
              </w:rPr>
              <w:fldChar w:fldCharType="begin"/>
            </w:r>
            <w:r w:rsidR="00255B94">
              <w:rPr>
                <w:webHidden/>
              </w:rPr>
              <w:instrText xml:space="preserve"> PAGEREF _Toc12956383 \h </w:instrText>
            </w:r>
            <w:r w:rsidR="00255B94">
              <w:rPr>
                <w:webHidden/>
              </w:rPr>
            </w:r>
            <w:r w:rsidR="00255B94">
              <w:rPr>
                <w:webHidden/>
              </w:rPr>
              <w:fldChar w:fldCharType="separate"/>
            </w:r>
            <w:r w:rsidR="00255B94">
              <w:rPr>
                <w:webHidden/>
              </w:rPr>
              <w:t>76</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84" w:history="1">
            <w:r w:rsidR="00255B94" w:rsidRPr="00823036">
              <w:rPr>
                <w:rStyle w:val="Kpr"/>
              </w:rPr>
              <w:t>12.2 Bilateral Relations</w:t>
            </w:r>
            <w:r w:rsidR="00255B94">
              <w:rPr>
                <w:webHidden/>
              </w:rPr>
              <w:tab/>
            </w:r>
            <w:r w:rsidR="00255B94">
              <w:rPr>
                <w:webHidden/>
              </w:rPr>
              <w:fldChar w:fldCharType="begin"/>
            </w:r>
            <w:r w:rsidR="00255B94">
              <w:rPr>
                <w:webHidden/>
              </w:rPr>
              <w:instrText xml:space="preserve"> PAGEREF _Toc12956384 \h </w:instrText>
            </w:r>
            <w:r w:rsidR="00255B94">
              <w:rPr>
                <w:webHidden/>
              </w:rPr>
            </w:r>
            <w:r w:rsidR="00255B94">
              <w:rPr>
                <w:webHidden/>
              </w:rPr>
              <w:fldChar w:fldCharType="separate"/>
            </w:r>
            <w:r w:rsidR="00255B94">
              <w:rPr>
                <w:webHidden/>
              </w:rPr>
              <w:t>78</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85" w:history="1">
            <w:r w:rsidR="00255B94" w:rsidRPr="00823036">
              <w:rPr>
                <w:rStyle w:val="Kpr"/>
              </w:rPr>
              <w:t>12.3.     Activities within the scope of alignment with the EU acquis</w:t>
            </w:r>
            <w:r w:rsidR="00255B94">
              <w:rPr>
                <w:webHidden/>
              </w:rPr>
              <w:tab/>
            </w:r>
            <w:r w:rsidR="00255B94">
              <w:rPr>
                <w:webHidden/>
              </w:rPr>
              <w:fldChar w:fldCharType="begin"/>
            </w:r>
            <w:r w:rsidR="00255B94">
              <w:rPr>
                <w:webHidden/>
              </w:rPr>
              <w:instrText xml:space="preserve"> PAGEREF _Toc12956385 \h </w:instrText>
            </w:r>
            <w:r w:rsidR="00255B94">
              <w:rPr>
                <w:webHidden/>
              </w:rPr>
            </w:r>
            <w:r w:rsidR="00255B94">
              <w:rPr>
                <w:webHidden/>
              </w:rPr>
              <w:fldChar w:fldCharType="separate"/>
            </w:r>
            <w:r w:rsidR="00255B94">
              <w:rPr>
                <w:webHidden/>
              </w:rPr>
              <w:t>78</w:t>
            </w:r>
            <w:r w:rsidR="00255B94">
              <w:rPr>
                <w:webHidden/>
              </w:rPr>
              <w:fldChar w:fldCharType="end"/>
            </w:r>
          </w:hyperlink>
        </w:p>
        <w:p w:rsidR="00255B94" w:rsidRDefault="008C28A7">
          <w:pPr>
            <w:pStyle w:val="T2"/>
            <w:tabs>
              <w:tab w:val="left" w:pos="1100"/>
              <w:tab w:val="right" w:leader="dot" w:pos="9396"/>
            </w:tabs>
            <w:rPr>
              <w:rFonts w:eastAsiaTheme="minorEastAsia"/>
              <w:lang w:val="tr-TR" w:eastAsia="tr-TR"/>
            </w:rPr>
          </w:pPr>
          <w:hyperlink w:anchor="_Toc12956386" w:history="1">
            <w:r w:rsidR="00255B94" w:rsidRPr="00823036">
              <w:rPr>
                <w:rStyle w:val="Kpr"/>
              </w:rPr>
              <w:t xml:space="preserve">12.4. </w:t>
            </w:r>
            <w:r w:rsidR="00255B94">
              <w:rPr>
                <w:rFonts w:eastAsiaTheme="minorEastAsia"/>
                <w:lang w:val="tr-TR" w:eastAsia="tr-TR"/>
              </w:rPr>
              <w:tab/>
            </w:r>
            <w:r w:rsidR="00255B94" w:rsidRPr="00823036">
              <w:rPr>
                <w:rStyle w:val="Kpr"/>
              </w:rPr>
              <w:t>The Studies in the Areas Falling within the Organization’s Mandate in Which Our Country is a Part of it or Have Relations with</w:t>
            </w:r>
            <w:r w:rsidR="00255B94">
              <w:rPr>
                <w:webHidden/>
              </w:rPr>
              <w:tab/>
            </w:r>
            <w:r w:rsidR="00255B94">
              <w:rPr>
                <w:webHidden/>
              </w:rPr>
              <w:fldChar w:fldCharType="begin"/>
            </w:r>
            <w:r w:rsidR="00255B94">
              <w:rPr>
                <w:webHidden/>
              </w:rPr>
              <w:instrText xml:space="preserve"> PAGEREF _Toc12956386 \h </w:instrText>
            </w:r>
            <w:r w:rsidR="00255B94">
              <w:rPr>
                <w:webHidden/>
              </w:rPr>
            </w:r>
            <w:r w:rsidR="00255B94">
              <w:rPr>
                <w:webHidden/>
              </w:rPr>
              <w:fldChar w:fldCharType="separate"/>
            </w:r>
            <w:r w:rsidR="00255B94">
              <w:rPr>
                <w:webHidden/>
              </w:rPr>
              <w:t>79</w:t>
            </w:r>
            <w:r w:rsidR="00255B94">
              <w:rPr>
                <w:webHidden/>
              </w:rPr>
              <w:fldChar w:fldCharType="end"/>
            </w:r>
          </w:hyperlink>
        </w:p>
        <w:p w:rsidR="00255B94" w:rsidRDefault="008C28A7">
          <w:pPr>
            <w:pStyle w:val="T2"/>
            <w:tabs>
              <w:tab w:val="left" w:pos="880"/>
              <w:tab w:val="right" w:leader="dot" w:pos="9396"/>
            </w:tabs>
            <w:rPr>
              <w:rFonts w:eastAsiaTheme="minorEastAsia"/>
              <w:lang w:val="tr-TR" w:eastAsia="tr-TR"/>
            </w:rPr>
          </w:pPr>
          <w:hyperlink w:anchor="_Toc12956387" w:history="1">
            <w:r w:rsidR="00255B94" w:rsidRPr="00823036">
              <w:rPr>
                <w:rStyle w:val="Kpr"/>
              </w:rPr>
              <w:t>12.5</w:t>
            </w:r>
            <w:r w:rsidR="00255B94">
              <w:rPr>
                <w:rFonts w:eastAsiaTheme="minorEastAsia"/>
                <w:lang w:val="tr-TR" w:eastAsia="tr-TR"/>
              </w:rPr>
              <w:tab/>
            </w:r>
            <w:r w:rsidR="00255B94" w:rsidRPr="00823036">
              <w:rPr>
                <w:rStyle w:val="Kpr"/>
              </w:rPr>
              <w:t>Monitoring and Reporting of Developments in International Energy Markets</w:t>
            </w:r>
            <w:r w:rsidR="00255B94">
              <w:rPr>
                <w:webHidden/>
              </w:rPr>
              <w:tab/>
            </w:r>
            <w:r w:rsidR="00255B94">
              <w:rPr>
                <w:webHidden/>
              </w:rPr>
              <w:fldChar w:fldCharType="begin"/>
            </w:r>
            <w:r w:rsidR="00255B94">
              <w:rPr>
                <w:webHidden/>
              </w:rPr>
              <w:instrText xml:space="preserve"> PAGEREF _Toc12956387 \h </w:instrText>
            </w:r>
            <w:r w:rsidR="00255B94">
              <w:rPr>
                <w:webHidden/>
              </w:rPr>
            </w:r>
            <w:r w:rsidR="00255B94">
              <w:rPr>
                <w:webHidden/>
              </w:rPr>
              <w:fldChar w:fldCharType="separate"/>
            </w:r>
            <w:r w:rsidR="00255B94">
              <w:rPr>
                <w:webHidden/>
              </w:rPr>
              <w:t>80</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88" w:history="1">
            <w:r w:rsidR="00255B94" w:rsidRPr="00823036">
              <w:rPr>
                <w:rStyle w:val="Kpr"/>
              </w:rPr>
              <w:t>13. HUMAN RESOURCES AND TRAINING ACTIVITIES</w:t>
            </w:r>
            <w:r w:rsidR="00255B94">
              <w:rPr>
                <w:webHidden/>
              </w:rPr>
              <w:tab/>
            </w:r>
            <w:r w:rsidR="00255B94">
              <w:rPr>
                <w:webHidden/>
              </w:rPr>
              <w:fldChar w:fldCharType="begin"/>
            </w:r>
            <w:r w:rsidR="00255B94">
              <w:rPr>
                <w:webHidden/>
              </w:rPr>
              <w:instrText xml:space="preserve"> PAGEREF _Toc12956388 \h </w:instrText>
            </w:r>
            <w:r w:rsidR="00255B94">
              <w:rPr>
                <w:webHidden/>
              </w:rPr>
            </w:r>
            <w:r w:rsidR="00255B94">
              <w:rPr>
                <w:webHidden/>
              </w:rPr>
              <w:fldChar w:fldCharType="separate"/>
            </w:r>
            <w:r w:rsidR="00255B94">
              <w:rPr>
                <w:webHidden/>
              </w:rPr>
              <w:t>80</w:t>
            </w:r>
            <w:r w:rsidR="00255B94">
              <w:rPr>
                <w:webHidden/>
              </w:rPr>
              <w:fldChar w:fldCharType="end"/>
            </w:r>
          </w:hyperlink>
        </w:p>
        <w:p w:rsidR="00255B94" w:rsidRDefault="008C28A7">
          <w:pPr>
            <w:pStyle w:val="T2"/>
            <w:tabs>
              <w:tab w:val="left" w:pos="1100"/>
              <w:tab w:val="right" w:leader="dot" w:pos="9396"/>
            </w:tabs>
            <w:rPr>
              <w:rFonts w:eastAsiaTheme="minorEastAsia"/>
              <w:lang w:val="tr-TR" w:eastAsia="tr-TR"/>
            </w:rPr>
          </w:pPr>
          <w:hyperlink w:anchor="_Toc12956389" w:history="1">
            <w:r w:rsidR="00255B94" w:rsidRPr="00823036">
              <w:rPr>
                <w:rStyle w:val="Kpr"/>
              </w:rPr>
              <w:t xml:space="preserve">13.1. </w:t>
            </w:r>
            <w:r w:rsidR="00255B94">
              <w:rPr>
                <w:rFonts w:eastAsiaTheme="minorEastAsia"/>
                <w:lang w:val="tr-TR" w:eastAsia="tr-TR"/>
              </w:rPr>
              <w:tab/>
            </w:r>
            <w:r w:rsidR="00255B94" w:rsidRPr="00823036">
              <w:rPr>
                <w:rStyle w:val="Kpr"/>
              </w:rPr>
              <w:t>Staff of the Authority</w:t>
            </w:r>
            <w:r w:rsidR="00255B94">
              <w:rPr>
                <w:webHidden/>
              </w:rPr>
              <w:tab/>
            </w:r>
            <w:r w:rsidR="00255B94">
              <w:rPr>
                <w:webHidden/>
              </w:rPr>
              <w:fldChar w:fldCharType="begin"/>
            </w:r>
            <w:r w:rsidR="00255B94">
              <w:rPr>
                <w:webHidden/>
              </w:rPr>
              <w:instrText xml:space="preserve"> PAGEREF _Toc12956389 \h </w:instrText>
            </w:r>
            <w:r w:rsidR="00255B94">
              <w:rPr>
                <w:webHidden/>
              </w:rPr>
            </w:r>
            <w:r w:rsidR="00255B94">
              <w:rPr>
                <w:webHidden/>
              </w:rPr>
              <w:fldChar w:fldCharType="separate"/>
            </w:r>
            <w:r w:rsidR="00255B94">
              <w:rPr>
                <w:webHidden/>
              </w:rPr>
              <w:t>80</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90" w:history="1">
            <w:r w:rsidR="00255B94" w:rsidRPr="00823036">
              <w:rPr>
                <w:rStyle w:val="Kpr"/>
              </w:rPr>
              <w:t>13.2. Training Activities</w:t>
            </w:r>
            <w:r w:rsidR="00255B94">
              <w:rPr>
                <w:webHidden/>
              </w:rPr>
              <w:tab/>
            </w:r>
            <w:r w:rsidR="00255B94">
              <w:rPr>
                <w:webHidden/>
              </w:rPr>
              <w:fldChar w:fldCharType="begin"/>
            </w:r>
            <w:r w:rsidR="00255B94">
              <w:rPr>
                <w:webHidden/>
              </w:rPr>
              <w:instrText xml:space="preserve"> PAGEREF _Toc12956390 \h </w:instrText>
            </w:r>
            <w:r w:rsidR="00255B94">
              <w:rPr>
                <w:webHidden/>
              </w:rPr>
            </w:r>
            <w:r w:rsidR="00255B94">
              <w:rPr>
                <w:webHidden/>
              </w:rPr>
              <w:fldChar w:fldCharType="separate"/>
            </w:r>
            <w:r w:rsidR="00255B94">
              <w:rPr>
                <w:webHidden/>
              </w:rPr>
              <w:t>83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91" w:history="1">
            <w:r w:rsidR="00255B94" w:rsidRPr="00823036">
              <w:rPr>
                <w:rStyle w:val="Kpr"/>
              </w:rPr>
              <w:t>13.2.1. In-service Training Activities</w:t>
            </w:r>
            <w:r w:rsidR="00255B94">
              <w:rPr>
                <w:webHidden/>
              </w:rPr>
              <w:tab/>
            </w:r>
            <w:r w:rsidR="00255B94">
              <w:rPr>
                <w:webHidden/>
              </w:rPr>
              <w:fldChar w:fldCharType="begin"/>
            </w:r>
            <w:r w:rsidR="00255B94">
              <w:rPr>
                <w:webHidden/>
              </w:rPr>
              <w:instrText xml:space="preserve"> PAGEREF _Toc12956391 \h </w:instrText>
            </w:r>
            <w:r w:rsidR="00255B94">
              <w:rPr>
                <w:webHidden/>
              </w:rPr>
            </w:r>
            <w:r w:rsidR="00255B94">
              <w:rPr>
                <w:webHidden/>
              </w:rPr>
              <w:fldChar w:fldCharType="separate"/>
            </w:r>
            <w:r w:rsidR="00255B94">
              <w:rPr>
                <w:webHidden/>
              </w:rPr>
              <w:t>83</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92" w:history="1">
            <w:r w:rsidR="00255B94" w:rsidRPr="00823036">
              <w:rPr>
                <w:rStyle w:val="Kpr"/>
              </w:rPr>
              <w:t>13.2.2. Other Training Activities</w:t>
            </w:r>
            <w:r w:rsidR="00255B94">
              <w:rPr>
                <w:webHidden/>
              </w:rPr>
              <w:tab/>
            </w:r>
            <w:r w:rsidR="00255B94">
              <w:rPr>
                <w:webHidden/>
              </w:rPr>
              <w:fldChar w:fldCharType="begin"/>
            </w:r>
            <w:r w:rsidR="00255B94">
              <w:rPr>
                <w:webHidden/>
              </w:rPr>
              <w:instrText xml:space="preserve"> PAGEREF _Toc12956392 \h </w:instrText>
            </w:r>
            <w:r w:rsidR="00255B94">
              <w:rPr>
                <w:webHidden/>
              </w:rPr>
            </w:r>
            <w:r w:rsidR="00255B94">
              <w:rPr>
                <w:webHidden/>
              </w:rPr>
              <w:fldChar w:fldCharType="separate"/>
            </w:r>
            <w:r w:rsidR="00255B94">
              <w:rPr>
                <w:webHidden/>
              </w:rPr>
              <w:t>85</w:t>
            </w:r>
            <w:r w:rsidR="00255B94">
              <w:rPr>
                <w:webHidden/>
              </w:rPr>
              <w:fldChar w:fldCharType="end"/>
            </w:r>
          </w:hyperlink>
        </w:p>
        <w:p w:rsidR="00255B94" w:rsidRDefault="008C28A7">
          <w:pPr>
            <w:pStyle w:val="T1"/>
            <w:tabs>
              <w:tab w:val="right" w:leader="dot" w:pos="9396"/>
            </w:tabs>
            <w:rPr>
              <w:rFonts w:eastAsiaTheme="minorEastAsia"/>
              <w:lang w:val="tr-TR" w:eastAsia="tr-TR"/>
            </w:rPr>
          </w:pPr>
          <w:hyperlink w:anchor="_Toc12956393" w:history="1">
            <w:r w:rsidR="00255B94" w:rsidRPr="00823036">
              <w:rPr>
                <w:rStyle w:val="Kpr"/>
              </w:rPr>
              <w:t>14. FINANCIAL INFORMATION</w:t>
            </w:r>
            <w:r w:rsidR="00255B94">
              <w:rPr>
                <w:webHidden/>
              </w:rPr>
              <w:tab/>
            </w:r>
            <w:r w:rsidR="00255B94">
              <w:rPr>
                <w:webHidden/>
              </w:rPr>
              <w:fldChar w:fldCharType="begin"/>
            </w:r>
            <w:r w:rsidR="00255B94">
              <w:rPr>
                <w:webHidden/>
              </w:rPr>
              <w:instrText xml:space="preserve"> PAGEREF _Toc12956393 \h </w:instrText>
            </w:r>
            <w:r w:rsidR="00255B94">
              <w:rPr>
                <w:webHidden/>
              </w:rPr>
            </w:r>
            <w:r w:rsidR="00255B94">
              <w:rPr>
                <w:webHidden/>
              </w:rPr>
              <w:fldChar w:fldCharType="separate"/>
            </w:r>
            <w:r w:rsidR="00255B94">
              <w:rPr>
                <w:webHidden/>
              </w:rPr>
              <w:t>88</w:t>
            </w:r>
            <w:r w:rsidR="00255B94">
              <w:rPr>
                <w:webHidden/>
              </w:rPr>
              <w:fldChar w:fldCharType="end"/>
            </w:r>
          </w:hyperlink>
        </w:p>
        <w:p w:rsidR="00255B94" w:rsidRDefault="008C28A7">
          <w:pPr>
            <w:pStyle w:val="T2"/>
            <w:tabs>
              <w:tab w:val="right" w:leader="dot" w:pos="9396"/>
            </w:tabs>
            <w:rPr>
              <w:rFonts w:eastAsiaTheme="minorEastAsia"/>
              <w:lang w:val="tr-TR" w:eastAsia="tr-TR"/>
            </w:rPr>
          </w:pPr>
          <w:hyperlink w:anchor="_Toc12956394" w:history="1">
            <w:r w:rsidR="00255B94" w:rsidRPr="00823036">
              <w:rPr>
                <w:rStyle w:val="Kpr"/>
              </w:rPr>
              <w:t>14.1. 2018 Budget Implementation Results</w:t>
            </w:r>
            <w:r w:rsidR="00255B94">
              <w:rPr>
                <w:webHidden/>
              </w:rPr>
              <w:tab/>
            </w:r>
            <w:r w:rsidR="00255B94">
              <w:rPr>
                <w:webHidden/>
              </w:rPr>
              <w:fldChar w:fldCharType="begin"/>
            </w:r>
            <w:r w:rsidR="00255B94">
              <w:rPr>
                <w:webHidden/>
              </w:rPr>
              <w:instrText xml:space="preserve"> PAGEREF _Toc12956394 \h </w:instrText>
            </w:r>
            <w:r w:rsidR="00255B94">
              <w:rPr>
                <w:webHidden/>
              </w:rPr>
            </w:r>
            <w:r w:rsidR="00255B94">
              <w:rPr>
                <w:webHidden/>
              </w:rPr>
              <w:fldChar w:fldCharType="separate"/>
            </w:r>
            <w:r w:rsidR="00255B94">
              <w:rPr>
                <w:webHidden/>
              </w:rPr>
              <w:t>88</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95" w:history="1">
            <w:r w:rsidR="00255B94" w:rsidRPr="00823036">
              <w:rPr>
                <w:rStyle w:val="Kpr"/>
              </w:rPr>
              <w:t>14.1.1. Income Budget</w:t>
            </w:r>
            <w:r w:rsidR="00255B94">
              <w:rPr>
                <w:webHidden/>
              </w:rPr>
              <w:tab/>
            </w:r>
            <w:r w:rsidR="00255B94">
              <w:rPr>
                <w:webHidden/>
              </w:rPr>
              <w:fldChar w:fldCharType="begin"/>
            </w:r>
            <w:r w:rsidR="00255B94">
              <w:rPr>
                <w:webHidden/>
              </w:rPr>
              <w:instrText xml:space="preserve"> PAGEREF _Toc12956395 \h </w:instrText>
            </w:r>
            <w:r w:rsidR="00255B94">
              <w:rPr>
                <w:webHidden/>
              </w:rPr>
            </w:r>
            <w:r w:rsidR="00255B94">
              <w:rPr>
                <w:webHidden/>
              </w:rPr>
              <w:fldChar w:fldCharType="separate"/>
            </w:r>
            <w:r w:rsidR="00255B94">
              <w:rPr>
                <w:webHidden/>
              </w:rPr>
              <w:t>89</w:t>
            </w:r>
            <w:r w:rsidR="00255B94">
              <w:rPr>
                <w:webHidden/>
              </w:rPr>
              <w:fldChar w:fldCharType="end"/>
            </w:r>
          </w:hyperlink>
        </w:p>
        <w:p w:rsidR="00255B94" w:rsidRDefault="008C28A7">
          <w:pPr>
            <w:pStyle w:val="T3"/>
            <w:tabs>
              <w:tab w:val="right" w:leader="dot" w:pos="9396"/>
            </w:tabs>
            <w:rPr>
              <w:rFonts w:eastAsiaTheme="minorEastAsia"/>
              <w:lang w:val="tr-TR" w:eastAsia="tr-TR"/>
            </w:rPr>
          </w:pPr>
          <w:hyperlink w:anchor="_Toc12956396" w:history="1">
            <w:r w:rsidR="00255B94" w:rsidRPr="00823036">
              <w:rPr>
                <w:rStyle w:val="Kpr"/>
              </w:rPr>
              <w:t>14.1.2. Expenditure Budget</w:t>
            </w:r>
            <w:r w:rsidR="00255B94">
              <w:rPr>
                <w:webHidden/>
              </w:rPr>
              <w:tab/>
            </w:r>
            <w:r w:rsidR="00255B94">
              <w:rPr>
                <w:webHidden/>
              </w:rPr>
              <w:fldChar w:fldCharType="begin"/>
            </w:r>
            <w:r w:rsidR="00255B94">
              <w:rPr>
                <w:webHidden/>
              </w:rPr>
              <w:instrText xml:space="preserve"> PAGEREF _Toc12956396 \h </w:instrText>
            </w:r>
            <w:r w:rsidR="00255B94">
              <w:rPr>
                <w:webHidden/>
              </w:rPr>
            </w:r>
            <w:r w:rsidR="00255B94">
              <w:rPr>
                <w:webHidden/>
              </w:rPr>
              <w:fldChar w:fldCharType="separate"/>
            </w:r>
            <w:r w:rsidR="00255B94">
              <w:rPr>
                <w:webHidden/>
              </w:rPr>
              <w:t>89</w:t>
            </w:r>
            <w:r w:rsidR="00255B94">
              <w:rPr>
                <w:webHidden/>
              </w:rPr>
              <w:fldChar w:fldCharType="end"/>
            </w:r>
          </w:hyperlink>
        </w:p>
        <w:p w:rsidR="00D816E6" w:rsidRDefault="00D816E6">
          <w:r>
            <w:rPr>
              <w:b/>
              <w:bCs/>
            </w:rPr>
            <w:fldChar w:fldCharType="end"/>
          </w:r>
        </w:p>
      </w:sdtContent>
    </w:sdt>
    <w:p w:rsidR="00C74AB7" w:rsidRPr="004A1BC6" w:rsidRDefault="00C74AB7" w:rsidP="00D816E6">
      <w:pPr>
        <w:spacing w:line="240" w:lineRule="auto"/>
      </w:pPr>
    </w:p>
    <w:p w:rsidR="00C74AB7" w:rsidRPr="004A1BC6" w:rsidRDefault="00C74AB7" w:rsidP="00B5324E">
      <w:pPr>
        <w:spacing w:line="240" w:lineRule="auto"/>
        <w:jc w:val="center"/>
      </w:pPr>
    </w:p>
    <w:p w:rsidR="00C74AB7" w:rsidRPr="004A1BC6" w:rsidRDefault="00C74AB7" w:rsidP="00B5324E">
      <w:pPr>
        <w:spacing w:line="240" w:lineRule="auto"/>
        <w:jc w:val="center"/>
      </w:pPr>
    </w:p>
    <w:p w:rsidR="00C74AB7" w:rsidRPr="004A1BC6" w:rsidRDefault="00C74AB7" w:rsidP="00B5324E">
      <w:pPr>
        <w:spacing w:line="240" w:lineRule="auto"/>
        <w:jc w:val="center"/>
      </w:pPr>
    </w:p>
    <w:p w:rsidR="00F4599F" w:rsidRPr="004A1BC6" w:rsidRDefault="00F4599F" w:rsidP="00B5324E">
      <w:pPr>
        <w:spacing w:line="240" w:lineRule="auto"/>
        <w:jc w:val="center"/>
      </w:pPr>
    </w:p>
    <w:p w:rsidR="00F4599F" w:rsidRPr="004A1BC6" w:rsidRDefault="00F4599F" w:rsidP="00B5324E">
      <w:pPr>
        <w:spacing w:line="240" w:lineRule="auto"/>
        <w:jc w:val="center"/>
      </w:pPr>
    </w:p>
    <w:p w:rsidR="00F4599F" w:rsidRPr="004A1BC6" w:rsidRDefault="00F4599F" w:rsidP="00B5324E">
      <w:pPr>
        <w:spacing w:line="240" w:lineRule="auto"/>
        <w:jc w:val="center"/>
      </w:pPr>
    </w:p>
    <w:p w:rsidR="00F4599F" w:rsidRPr="004A1BC6" w:rsidRDefault="00F4599F" w:rsidP="00B5324E">
      <w:pPr>
        <w:spacing w:line="240" w:lineRule="auto"/>
        <w:jc w:val="center"/>
      </w:pPr>
    </w:p>
    <w:bookmarkEnd w:id="3"/>
    <w:bookmarkEnd w:id="2"/>
    <w:bookmarkEnd w:id="1"/>
    <w:bookmarkEnd w:id="0"/>
    <w:p w:rsidR="00F4599F" w:rsidRPr="004A1BC6" w:rsidRDefault="00F4599F" w:rsidP="00B5324E">
      <w:pPr>
        <w:tabs>
          <w:tab w:val="left" w:pos="8661"/>
        </w:tabs>
        <w:spacing w:line="240" w:lineRule="auto"/>
      </w:pPr>
    </w:p>
    <w:p w:rsidR="00F4599F" w:rsidRPr="004A1BC6" w:rsidRDefault="00F4599F" w:rsidP="00B5324E">
      <w:pPr>
        <w:tabs>
          <w:tab w:val="left" w:pos="8661"/>
        </w:tabs>
        <w:spacing w:line="240" w:lineRule="auto"/>
      </w:pPr>
    </w:p>
    <w:p w:rsidR="00F4599F" w:rsidRPr="004A1BC6" w:rsidRDefault="00F4599F" w:rsidP="00B5324E">
      <w:pPr>
        <w:tabs>
          <w:tab w:val="left" w:pos="8661"/>
        </w:tabs>
        <w:spacing w:line="240" w:lineRule="auto"/>
      </w:pPr>
    </w:p>
    <w:p w:rsidR="00F4599F" w:rsidRPr="004A1BC6" w:rsidRDefault="00F4599F" w:rsidP="00B5324E">
      <w:pPr>
        <w:tabs>
          <w:tab w:val="left" w:pos="8661"/>
        </w:tabs>
        <w:spacing w:line="240" w:lineRule="auto"/>
      </w:pPr>
    </w:p>
    <w:p w:rsidR="00F4599F" w:rsidRPr="004A1BC6" w:rsidRDefault="00F4599F" w:rsidP="00B5324E">
      <w:pPr>
        <w:tabs>
          <w:tab w:val="left" w:pos="8661"/>
        </w:tabs>
        <w:spacing w:line="240" w:lineRule="auto"/>
      </w:pPr>
    </w:p>
    <w:p w:rsidR="00F4599F" w:rsidRPr="004A1BC6" w:rsidRDefault="00F4599F" w:rsidP="00B5324E">
      <w:pPr>
        <w:spacing w:line="240" w:lineRule="auto"/>
      </w:pPr>
      <w:r w:rsidRPr="004A1BC6">
        <w:br w:type="page"/>
      </w:r>
    </w:p>
    <w:p w:rsidR="0055522A" w:rsidRPr="00207061" w:rsidRDefault="0055522A">
      <w:pPr>
        <w:pStyle w:val="ekillerTablosu"/>
        <w:tabs>
          <w:tab w:val="right" w:leader="dot" w:pos="9396"/>
        </w:tabs>
        <w:rPr>
          <w:b/>
          <w:bCs/>
        </w:rPr>
      </w:pPr>
      <w:r w:rsidRPr="00207061">
        <w:rPr>
          <w:b/>
          <w:bCs/>
        </w:rPr>
        <w:t>LIST OF FIGURES AND TABLES</w:t>
      </w:r>
    </w:p>
    <w:p w:rsidR="0055522A" w:rsidRDefault="0055522A">
      <w:pPr>
        <w:pStyle w:val="ekillerTablosu"/>
        <w:tabs>
          <w:tab w:val="right" w:leader="dot" w:pos="9396"/>
        </w:tabs>
      </w:pPr>
    </w:p>
    <w:p w:rsidR="002F5B3F" w:rsidRDefault="0055522A">
      <w:pPr>
        <w:pStyle w:val="ekillerTablosu"/>
        <w:tabs>
          <w:tab w:val="right" w:leader="dot" w:pos="9396"/>
        </w:tabs>
        <w:rPr>
          <w:rFonts w:eastAsiaTheme="minorEastAsia"/>
          <w:lang w:val="tr-TR" w:eastAsia="tr-TR"/>
        </w:rPr>
      </w:pPr>
      <w:r>
        <w:fldChar w:fldCharType="begin"/>
      </w:r>
      <w:r>
        <w:instrText xml:space="preserve"> TOC \h \z \t "Başlık 5" \c </w:instrText>
      </w:r>
      <w:r>
        <w:fldChar w:fldCharType="separate"/>
      </w:r>
      <w:hyperlink w:anchor="_Toc12958462" w:history="1">
        <w:r w:rsidR="002F5B3F" w:rsidRPr="00EE349F">
          <w:rPr>
            <w:rStyle w:val="Kpr"/>
          </w:rPr>
          <w:t>Table 1.1: Breakdown of Board Decisions taken in 2018 by Service Units</w:t>
        </w:r>
        <w:r w:rsidR="002F5B3F">
          <w:rPr>
            <w:webHidden/>
          </w:rPr>
          <w:tab/>
        </w:r>
        <w:r w:rsidR="002F5B3F">
          <w:rPr>
            <w:webHidden/>
          </w:rPr>
          <w:fldChar w:fldCharType="begin"/>
        </w:r>
        <w:r w:rsidR="002F5B3F">
          <w:rPr>
            <w:webHidden/>
          </w:rPr>
          <w:instrText xml:space="preserve"> PAGEREF _Toc12958462 \h </w:instrText>
        </w:r>
        <w:r w:rsidR="002F5B3F">
          <w:rPr>
            <w:webHidden/>
          </w:rPr>
        </w:r>
        <w:r w:rsidR="002F5B3F">
          <w:rPr>
            <w:webHidden/>
          </w:rPr>
          <w:fldChar w:fldCharType="separate"/>
        </w:r>
        <w:r w:rsidR="002F5B3F">
          <w:rPr>
            <w:webHidden/>
          </w:rPr>
          <w:t>12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63" w:history="1">
        <w:r w:rsidR="002F5B3F" w:rsidRPr="00EE349F">
          <w:rPr>
            <w:rStyle w:val="Kpr"/>
          </w:rPr>
          <w:t>Figure 1.1: Board Decisions by the service units in 2018</w:t>
        </w:r>
        <w:r w:rsidR="002F5B3F">
          <w:rPr>
            <w:webHidden/>
          </w:rPr>
          <w:tab/>
        </w:r>
        <w:r w:rsidR="002F5B3F">
          <w:rPr>
            <w:webHidden/>
          </w:rPr>
          <w:fldChar w:fldCharType="begin"/>
        </w:r>
        <w:r w:rsidR="002F5B3F">
          <w:rPr>
            <w:webHidden/>
          </w:rPr>
          <w:instrText xml:space="preserve"> PAGEREF _Toc12958463 \h </w:instrText>
        </w:r>
        <w:r w:rsidR="002F5B3F">
          <w:rPr>
            <w:webHidden/>
          </w:rPr>
        </w:r>
        <w:r w:rsidR="002F5B3F">
          <w:rPr>
            <w:webHidden/>
          </w:rPr>
          <w:fldChar w:fldCharType="separate"/>
        </w:r>
        <w:r w:rsidR="002F5B3F">
          <w:rPr>
            <w:webHidden/>
          </w:rPr>
          <w:t>12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64" w:history="1">
        <w:r w:rsidR="002F5B3F" w:rsidRPr="00EE349F">
          <w:rPr>
            <w:rStyle w:val="Kpr"/>
          </w:rPr>
          <w:t>Table 1.2: Breakdown of Board Decisions taken in 2014-2018 by the service units</w:t>
        </w:r>
        <w:r w:rsidR="002F5B3F">
          <w:rPr>
            <w:webHidden/>
          </w:rPr>
          <w:tab/>
        </w:r>
        <w:r w:rsidR="002F5B3F">
          <w:rPr>
            <w:webHidden/>
          </w:rPr>
          <w:fldChar w:fldCharType="begin"/>
        </w:r>
        <w:r w:rsidR="002F5B3F">
          <w:rPr>
            <w:webHidden/>
          </w:rPr>
          <w:instrText xml:space="preserve"> PAGEREF _Toc12958464 \h </w:instrText>
        </w:r>
        <w:r w:rsidR="002F5B3F">
          <w:rPr>
            <w:webHidden/>
          </w:rPr>
        </w:r>
        <w:r w:rsidR="002F5B3F">
          <w:rPr>
            <w:webHidden/>
          </w:rPr>
          <w:fldChar w:fldCharType="separate"/>
        </w:r>
        <w:r w:rsidR="002F5B3F">
          <w:rPr>
            <w:webHidden/>
          </w:rPr>
          <w:t>12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65" w:history="1">
        <w:r w:rsidR="002F5B3F" w:rsidRPr="00EE349F">
          <w:rPr>
            <w:rStyle w:val="Kpr"/>
          </w:rPr>
          <w:t>Table 1.3: General Breakdown of the Board Decisions taken in 2014-2018</w:t>
        </w:r>
        <w:r w:rsidR="002F5B3F">
          <w:rPr>
            <w:webHidden/>
          </w:rPr>
          <w:tab/>
        </w:r>
        <w:r w:rsidR="002F5B3F">
          <w:rPr>
            <w:webHidden/>
          </w:rPr>
          <w:fldChar w:fldCharType="begin"/>
        </w:r>
        <w:r w:rsidR="002F5B3F">
          <w:rPr>
            <w:webHidden/>
          </w:rPr>
          <w:instrText xml:space="preserve"> PAGEREF _Toc12958465 \h </w:instrText>
        </w:r>
        <w:r w:rsidR="002F5B3F">
          <w:rPr>
            <w:webHidden/>
          </w:rPr>
        </w:r>
        <w:r w:rsidR="002F5B3F">
          <w:rPr>
            <w:webHidden/>
          </w:rPr>
          <w:fldChar w:fldCharType="separate"/>
        </w:r>
        <w:r w:rsidR="002F5B3F">
          <w:rPr>
            <w:webHidden/>
          </w:rPr>
          <w:t>13</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66" w:history="1">
        <w:r w:rsidR="002F5B3F" w:rsidRPr="00EE349F">
          <w:rPr>
            <w:rStyle w:val="Kpr"/>
          </w:rPr>
          <w:t>Figure 1.2: Breakdown of The Board Decision taken in the period 2014-2018</w:t>
        </w:r>
        <w:r w:rsidR="002F5B3F">
          <w:rPr>
            <w:webHidden/>
          </w:rPr>
          <w:tab/>
        </w:r>
        <w:r w:rsidR="002F5B3F">
          <w:rPr>
            <w:webHidden/>
          </w:rPr>
          <w:fldChar w:fldCharType="begin"/>
        </w:r>
        <w:r w:rsidR="002F5B3F">
          <w:rPr>
            <w:webHidden/>
          </w:rPr>
          <w:instrText xml:space="preserve"> PAGEREF _Toc12958466 \h </w:instrText>
        </w:r>
        <w:r w:rsidR="002F5B3F">
          <w:rPr>
            <w:webHidden/>
          </w:rPr>
        </w:r>
        <w:r w:rsidR="002F5B3F">
          <w:rPr>
            <w:webHidden/>
          </w:rPr>
          <w:fldChar w:fldCharType="separate"/>
        </w:r>
        <w:r w:rsidR="002F5B3F">
          <w:rPr>
            <w:webHidden/>
          </w:rPr>
          <w:t>14</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67" w:history="1">
        <w:r w:rsidR="002F5B3F" w:rsidRPr="00EE349F">
          <w:rPr>
            <w:rStyle w:val="Kpr"/>
          </w:rPr>
          <w:t>Table 2.1: The change of eligible consumer limit in the electricity market by years(2003-2019)</w:t>
        </w:r>
        <w:r w:rsidR="002F5B3F">
          <w:rPr>
            <w:webHidden/>
          </w:rPr>
          <w:tab/>
        </w:r>
        <w:r w:rsidR="002F5B3F">
          <w:rPr>
            <w:webHidden/>
          </w:rPr>
          <w:fldChar w:fldCharType="begin"/>
        </w:r>
        <w:r w:rsidR="002F5B3F">
          <w:rPr>
            <w:webHidden/>
          </w:rPr>
          <w:instrText xml:space="preserve"> PAGEREF _Toc12958467 \h </w:instrText>
        </w:r>
        <w:r w:rsidR="002F5B3F">
          <w:rPr>
            <w:webHidden/>
          </w:rPr>
        </w:r>
        <w:r w:rsidR="002F5B3F">
          <w:rPr>
            <w:webHidden/>
          </w:rPr>
          <w:fldChar w:fldCharType="separate"/>
        </w:r>
        <w:r w:rsidR="002F5B3F">
          <w:rPr>
            <w:webHidden/>
          </w:rPr>
          <w:t>7</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68" w:history="1">
        <w:r w:rsidR="002F5B3F" w:rsidRPr="00EE349F">
          <w:rPr>
            <w:rStyle w:val="Kpr"/>
          </w:rPr>
          <w:t>Table 2.2: J Coefficient According to Resource Type</w:t>
        </w:r>
        <w:r w:rsidR="002F5B3F">
          <w:rPr>
            <w:webHidden/>
          </w:rPr>
          <w:tab/>
        </w:r>
        <w:r w:rsidR="002F5B3F">
          <w:rPr>
            <w:webHidden/>
          </w:rPr>
          <w:fldChar w:fldCharType="begin"/>
        </w:r>
        <w:r w:rsidR="002F5B3F">
          <w:rPr>
            <w:webHidden/>
          </w:rPr>
          <w:instrText xml:space="preserve"> PAGEREF _Toc12958468 \h </w:instrText>
        </w:r>
        <w:r w:rsidR="002F5B3F">
          <w:rPr>
            <w:webHidden/>
          </w:rPr>
        </w:r>
        <w:r w:rsidR="002F5B3F">
          <w:rPr>
            <w:webHidden/>
          </w:rPr>
          <w:fldChar w:fldCharType="separate"/>
        </w:r>
        <w:r w:rsidR="002F5B3F">
          <w:rPr>
            <w:webHidden/>
          </w:rPr>
          <w:t>8</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69" w:history="1">
        <w:r w:rsidR="002F5B3F" w:rsidRPr="00EE349F">
          <w:rPr>
            <w:rStyle w:val="Kpr"/>
          </w:rPr>
          <w:t>Table 2.3: Natural Gas Consumption Estimates and Realizations by years (2005-2018)</w:t>
        </w:r>
        <w:r w:rsidR="002F5B3F">
          <w:rPr>
            <w:webHidden/>
          </w:rPr>
          <w:tab/>
        </w:r>
        <w:r w:rsidR="002F5B3F">
          <w:rPr>
            <w:webHidden/>
          </w:rPr>
          <w:fldChar w:fldCharType="begin"/>
        </w:r>
        <w:r w:rsidR="002F5B3F">
          <w:rPr>
            <w:webHidden/>
          </w:rPr>
          <w:instrText xml:space="preserve"> PAGEREF _Toc12958469 \h </w:instrText>
        </w:r>
        <w:r w:rsidR="002F5B3F">
          <w:rPr>
            <w:webHidden/>
          </w:rPr>
        </w:r>
        <w:r w:rsidR="002F5B3F">
          <w:rPr>
            <w:webHidden/>
          </w:rPr>
          <w:fldChar w:fldCharType="separate"/>
        </w:r>
        <w:r w:rsidR="002F5B3F">
          <w:rPr>
            <w:webHidden/>
          </w:rPr>
          <w:t>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0" w:history="1">
        <w:r w:rsidR="002F5B3F" w:rsidRPr="00EE349F">
          <w:rPr>
            <w:rStyle w:val="Kpr"/>
          </w:rPr>
          <w:t>Table 2.4: The evolution of eligible consumer limit in natural gas market by years (2005-2019)</w:t>
        </w:r>
        <w:r w:rsidR="002F5B3F">
          <w:rPr>
            <w:webHidden/>
          </w:rPr>
          <w:tab/>
        </w:r>
        <w:r w:rsidR="002F5B3F">
          <w:rPr>
            <w:webHidden/>
          </w:rPr>
          <w:fldChar w:fldCharType="begin"/>
        </w:r>
        <w:r w:rsidR="002F5B3F">
          <w:rPr>
            <w:webHidden/>
          </w:rPr>
          <w:instrText xml:space="preserve"> PAGEREF _Toc12958470 \h </w:instrText>
        </w:r>
        <w:r w:rsidR="002F5B3F">
          <w:rPr>
            <w:webHidden/>
          </w:rPr>
        </w:r>
        <w:r w:rsidR="002F5B3F">
          <w:rPr>
            <w:webHidden/>
          </w:rPr>
          <w:fldChar w:fldCharType="separate"/>
        </w:r>
        <w:r w:rsidR="002F5B3F">
          <w:rPr>
            <w:webHidden/>
          </w:rPr>
          <w:t>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1" w:history="1">
        <w:r w:rsidR="002F5B3F" w:rsidRPr="00EE349F">
          <w:rPr>
            <w:rStyle w:val="Kpr"/>
          </w:rPr>
          <w:t>Table 3.1: License activities (numbers) in 2018 in the electricity market</w:t>
        </w:r>
        <w:r w:rsidR="002F5B3F">
          <w:rPr>
            <w:webHidden/>
          </w:rPr>
          <w:tab/>
        </w:r>
        <w:r w:rsidR="002F5B3F">
          <w:rPr>
            <w:webHidden/>
          </w:rPr>
          <w:fldChar w:fldCharType="begin"/>
        </w:r>
        <w:r w:rsidR="002F5B3F">
          <w:rPr>
            <w:webHidden/>
          </w:rPr>
          <w:instrText xml:space="preserve"> PAGEREF _Toc12958471 \h </w:instrText>
        </w:r>
        <w:r w:rsidR="002F5B3F">
          <w:rPr>
            <w:webHidden/>
          </w:rPr>
        </w:r>
        <w:r w:rsidR="002F5B3F">
          <w:rPr>
            <w:webHidden/>
          </w:rPr>
          <w:fldChar w:fldCharType="separate"/>
        </w:r>
        <w:r w:rsidR="002F5B3F">
          <w:rPr>
            <w:webHidden/>
          </w:rPr>
          <w:t>16</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2" w:history="1">
        <w:r w:rsidR="002F5B3F" w:rsidRPr="00EE349F">
          <w:rPr>
            <w:rStyle w:val="Kpr"/>
          </w:rPr>
          <w:t>Table 3.2: License activities of the Authority in 2017 within the scope of generation activity in the electricity market (MWe)</w:t>
        </w:r>
        <w:r w:rsidR="002F5B3F">
          <w:rPr>
            <w:webHidden/>
          </w:rPr>
          <w:tab/>
        </w:r>
        <w:r w:rsidR="002F5B3F">
          <w:rPr>
            <w:webHidden/>
          </w:rPr>
          <w:fldChar w:fldCharType="begin"/>
        </w:r>
        <w:r w:rsidR="002F5B3F">
          <w:rPr>
            <w:webHidden/>
          </w:rPr>
          <w:instrText xml:space="preserve"> PAGEREF _Toc12958472 \h </w:instrText>
        </w:r>
        <w:r w:rsidR="002F5B3F">
          <w:rPr>
            <w:webHidden/>
          </w:rPr>
        </w:r>
        <w:r w:rsidR="002F5B3F">
          <w:rPr>
            <w:webHidden/>
          </w:rPr>
          <w:fldChar w:fldCharType="separate"/>
        </w:r>
        <w:r w:rsidR="002F5B3F">
          <w:rPr>
            <w:webHidden/>
          </w:rPr>
          <w:t>17</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3" w:history="1">
        <w:r w:rsidR="002F5B3F" w:rsidRPr="00EE349F">
          <w:rPr>
            <w:rStyle w:val="Kpr"/>
          </w:rPr>
          <w:t>Table 3.3: Licensing Activities in 2018 in the Natural Gas Market (Numbers)</w:t>
        </w:r>
        <w:r w:rsidR="002F5B3F">
          <w:rPr>
            <w:webHidden/>
          </w:rPr>
          <w:tab/>
        </w:r>
        <w:r w:rsidR="002F5B3F">
          <w:rPr>
            <w:webHidden/>
          </w:rPr>
          <w:fldChar w:fldCharType="begin"/>
        </w:r>
        <w:r w:rsidR="002F5B3F">
          <w:rPr>
            <w:webHidden/>
          </w:rPr>
          <w:instrText xml:space="preserve"> PAGEREF _Toc12958473 \h </w:instrText>
        </w:r>
        <w:r w:rsidR="002F5B3F">
          <w:rPr>
            <w:webHidden/>
          </w:rPr>
        </w:r>
        <w:r w:rsidR="002F5B3F">
          <w:rPr>
            <w:webHidden/>
          </w:rPr>
          <w:fldChar w:fldCharType="separate"/>
        </w:r>
        <w:r w:rsidR="002F5B3F">
          <w:rPr>
            <w:webHidden/>
          </w:rPr>
          <w:t>19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4" w:history="1">
        <w:r w:rsidR="002F5B3F" w:rsidRPr="00EE349F">
          <w:rPr>
            <w:rStyle w:val="Kpr"/>
          </w:rPr>
          <w:t>Table 3.4: Information on Licensed Natural Gas Storage Facilities</w:t>
        </w:r>
        <w:r w:rsidR="002F5B3F">
          <w:rPr>
            <w:webHidden/>
          </w:rPr>
          <w:tab/>
        </w:r>
        <w:r w:rsidR="002F5B3F">
          <w:rPr>
            <w:webHidden/>
          </w:rPr>
          <w:fldChar w:fldCharType="begin"/>
        </w:r>
        <w:r w:rsidR="002F5B3F">
          <w:rPr>
            <w:webHidden/>
          </w:rPr>
          <w:instrText xml:space="preserve"> PAGEREF _Toc12958474 \h </w:instrText>
        </w:r>
        <w:r w:rsidR="002F5B3F">
          <w:rPr>
            <w:webHidden/>
          </w:rPr>
        </w:r>
        <w:r w:rsidR="002F5B3F">
          <w:rPr>
            <w:webHidden/>
          </w:rPr>
          <w:fldChar w:fldCharType="separate"/>
        </w:r>
        <w:r w:rsidR="002F5B3F">
          <w:rPr>
            <w:webHidden/>
          </w:rPr>
          <w:t>19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5" w:history="1">
        <w:r w:rsidR="002F5B3F" w:rsidRPr="00EE349F">
          <w:rPr>
            <w:rStyle w:val="Kpr"/>
          </w:rPr>
          <w:t>Table 3.5: Certfications in the Natural Gas Market in 2018</w:t>
        </w:r>
        <w:r w:rsidR="002F5B3F">
          <w:rPr>
            <w:webHidden/>
          </w:rPr>
          <w:tab/>
        </w:r>
        <w:r w:rsidR="002F5B3F">
          <w:rPr>
            <w:webHidden/>
          </w:rPr>
          <w:fldChar w:fldCharType="begin"/>
        </w:r>
        <w:r w:rsidR="002F5B3F">
          <w:rPr>
            <w:webHidden/>
          </w:rPr>
          <w:instrText xml:space="preserve"> PAGEREF _Toc12958475 \h </w:instrText>
        </w:r>
        <w:r w:rsidR="002F5B3F">
          <w:rPr>
            <w:webHidden/>
          </w:rPr>
        </w:r>
        <w:r w:rsidR="002F5B3F">
          <w:rPr>
            <w:webHidden/>
          </w:rPr>
          <w:fldChar w:fldCharType="separate"/>
        </w:r>
        <w:r w:rsidR="002F5B3F">
          <w:rPr>
            <w:webHidden/>
          </w:rPr>
          <w:t>20</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6" w:history="1">
        <w:r w:rsidR="002F5B3F" w:rsidRPr="00EE349F">
          <w:rPr>
            <w:rStyle w:val="Kpr"/>
          </w:rPr>
          <w:t>Table 3.6: License Procedures in the Petroleum Market in 2018</w:t>
        </w:r>
        <w:r w:rsidR="002F5B3F">
          <w:rPr>
            <w:webHidden/>
          </w:rPr>
          <w:tab/>
        </w:r>
        <w:r w:rsidR="002F5B3F">
          <w:rPr>
            <w:webHidden/>
          </w:rPr>
          <w:fldChar w:fldCharType="begin"/>
        </w:r>
        <w:r w:rsidR="002F5B3F">
          <w:rPr>
            <w:webHidden/>
          </w:rPr>
          <w:instrText xml:space="preserve"> PAGEREF _Toc12958476 \h </w:instrText>
        </w:r>
        <w:r w:rsidR="002F5B3F">
          <w:rPr>
            <w:webHidden/>
          </w:rPr>
        </w:r>
        <w:r w:rsidR="002F5B3F">
          <w:rPr>
            <w:webHidden/>
          </w:rPr>
          <w:fldChar w:fldCharType="separate"/>
        </w:r>
        <w:r w:rsidR="002F5B3F">
          <w:rPr>
            <w:webHidden/>
          </w:rPr>
          <w:t>21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7" w:history="1">
        <w:r w:rsidR="002F5B3F" w:rsidRPr="00EE349F">
          <w:rPr>
            <w:rStyle w:val="Kpr"/>
          </w:rPr>
          <w:t>Table 3.7: Information on Refining Undertakings as of the end of 2018</w:t>
        </w:r>
        <w:r w:rsidR="002F5B3F">
          <w:rPr>
            <w:webHidden/>
          </w:rPr>
          <w:tab/>
        </w:r>
        <w:r w:rsidR="002F5B3F">
          <w:rPr>
            <w:webHidden/>
          </w:rPr>
          <w:fldChar w:fldCharType="begin"/>
        </w:r>
        <w:r w:rsidR="002F5B3F">
          <w:rPr>
            <w:webHidden/>
          </w:rPr>
          <w:instrText xml:space="preserve"> PAGEREF _Toc12958477 \h </w:instrText>
        </w:r>
        <w:r w:rsidR="002F5B3F">
          <w:rPr>
            <w:webHidden/>
          </w:rPr>
        </w:r>
        <w:r w:rsidR="002F5B3F">
          <w:rPr>
            <w:webHidden/>
          </w:rPr>
          <w:fldChar w:fldCharType="separate"/>
        </w:r>
        <w:r w:rsidR="002F5B3F">
          <w:rPr>
            <w:webHidden/>
          </w:rPr>
          <w:t>21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8" w:history="1">
        <w:r w:rsidR="002F5B3F" w:rsidRPr="00EE349F">
          <w:rPr>
            <w:rStyle w:val="Kpr"/>
          </w:rPr>
          <w:t>Table 3.8: Information on Petroleum Market Storage Licenses as of the end of 2018</w:t>
        </w:r>
        <w:r w:rsidR="002F5B3F">
          <w:rPr>
            <w:webHidden/>
          </w:rPr>
          <w:tab/>
        </w:r>
        <w:r w:rsidR="002F5B3F">
          <w:rPr>
            <w:webHidden/>
          </w:rPr>
          <w:fldChar w:fldCharType="begin"/>
        </w:r>
        <w:r w:rsidR="002F5B3F">
          <w:rPr>
            <w:webHidden/>
          </w:rPr>
          <w:instrText xml:space="preserve"> PAGEREF _Toc12958478 \h </w:instrText>
        </w:r>
        <w:r w:rsidR="002F5B3F">
          <w:rPr>
            <w:webHidden/>
          </w:rPr>
        </w:r>
        <w:r w:rsidR="002F5B3F">
          <w:rPr>
            <w:webHidden/>
          </w:rPr>
          <w:fldChar w:fldCharType="separate"/>
        </w:r>
        <w:r w:rsidR="002F5B3F">
          <w:rPr>
            <w:webHidden/>
          </w:rPr>
          <w:t>22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79" w:history="1">
        <w:r w:rsidR="002F5B3F" w:rsidRPr="00EE349F">
          <w:rPr>
            <w:rStyle w:val="Kpr"/>
          </w:rPr>
          <w:t>Table 3.9: Used National Marker and Marked Liquid Fuel Amounts by years</w:t>
        </w:r>
        <w:r w:rsidR="002F5B3F">
          <w:rPr>
            <w:webHidden/>
          </w:rPr>
          <w:tab/>
        </w:r>
        <w:r w:rsidR="002F5B3F">
          <w:rPr>
            <w:webHidden/>
          </w:rPr>
          <w:fldChar w:fldCharType="begin"/>
        </w:r>
        <w:r w:rsidR="002F5B3F">
          <w:rPr>
            <w:webHidden/>
          </w:rPr>
          <w:instrText xml:space="preserve"> PAGEREF _Toc12958479 \h </w:instrText>
        </w:r>
        <w:r w:rsidR="002F5B3F">
          <w:rPr>
            <w:webHidden/>
          </w:rPr>
        </w:r>
        <w:r w:rsidR="002F5B3F">
          <w:rPr>
            <w:webHidden/>
          </w:rPr>
          <w:fldChar w:fldCharType="separate"/>
        </w:r>
        <w:r w:rsidR="002F5B3F">
          <w:rPr>
            <w:webHidden/>
          </w:rPr>
          <w:t>23</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0" w:history="1">
        <w:r w:rsidR="002F5B3F" w:rsidRPr="00EE349F">
          <w:rPr>
            <w:rStyle w:val="Kpr"/>
          </w:rPr>
          <w:t>Table 3.10: License Procedures in LPG Market in 2018</w:t>
        </w:r>
        <w:r w:rsidR="002F5B3F">
          <w:rPr>
            <w:webHidden/>
          </w:rPr>
          <w:tab/>
        </w:r>
        <w:r w:rsidR="002F5B3F">
          <w:rPr>
            <w:webHidden/>
          </w:rPr>
          <w:fldChar w:fldCharType="begin"/>
        </w:r>
        <w:r w:rsidR="002F5B3F">
          <w:rPr>
            <w:webHidden/>
          </w:rPr>
          <w:instrText xml:space="preserve"> PAGEREF _Toc12958480 \h </w:instrText>
        </w:r>
        <w:r w:rsidR="002F5B3F">
          <w:rPr>
            <w:webHidden/>
          </w:rPr>
        </w:r>
        <w:r w:rsidR="002F5B3F">
          <w:rPr>
            <w:webHidden/>
          </w:rPr>
          <w:fldChar w:fldCharType="separate"/>
        </w:r>
        <w:r w:rsidR="002F5B3F">
          <w:rPr>
            <w:webHidden/>
          </w:rPr>
          <w:t>26</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1" w:history="1">
        <w:r w:rsidR="002F5B3F" w:rsidRPr="00EE349F">
          <w:rPr>
            <w:rStyle w:val="Kpr"/>
          </w:rPr>
          <w:t>Table 3.11: Information on LPG Market Storage Licenses as of the end of 2018</w:t>
        </w:r>
        <w:r w:rsidR="002F5B3F">
          <w:rPr>
            <w:webHidden/>
          </w:rPr>
          <w:tab/>
        </w:r>
        <w:r w:rsidR="002F5B3F">
          <w:rPr>
            <w:webHidden/>
          </w:rPr>
          <w:fldChar w:fldCharType="begin"/>
        </w:r>
        <w:r w:rsidR="002F5B3F">
          <w:rPr>
            <w:webHidden/>
          </w:rPr>
          <w:instrText xml:space="preserve"> PAGEREF _Toc12958481 \h </w:instrText>
        </w:r>
        <w:r w:rsidR="002F5B3F">
          <w:rPr>
            <w:webHidden/>
          </w:rPr>
        </w:r>
        <w:r w:rsidR="002F5B3F">
          <w:rPr>
            <w:webHidden/>
          </w:rPr>
          <w:fldChar w:fldCharType="separate"/>
        </w:r>
        <w:r w:rsidR="002F5B3F">
          <w:rPr>
            <w:webHidden/>
          </w:rPr>
          <w:t>27</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2" w:history="1">
        <w:r w:rsidR="002F5B3F" w:rsidRPr="00EE349F">
          <w:rPr>
            <w:rStyle w:val="Kpr"/>
          </w:rPr>
          <w:t>Table 4.1: System Use and System Operation Price Caps of TEİAŞ in 2019</w:t>
        </w:r>
        <w:r w:rsidR="002F5B3F">
          <w:rPr>
            <w:webHidden/>
          </w:rPr>
          <w:tab/>
        </w:r>
        <w:r w:rsidR="002F5B3F">
          <w:rPr>
            <w:webHidden/>
          </w:rPr>
          <w:fldChar w:fldCharType="begin"/>
        </w:r>
        <w:r w:rsidR="002F5B3F">
          <w:rPr>
            <w:webHidden/>
          </w:rPr>
          <w:instrText xml:space="preserve"> PAGEREF _Toc12958482 \h </w:instrText>
        </w:r>
        <w:r w:rsidR="002F5B3F">
          <w:rPr>
            <w:webHidden/>
          </w:rPr>
        </w:r>
        <w:r w:rsidR="002F5B3F">
          <w:rPr>
            <w:webHidden/>
          </w:rPr>
          <w:fldChar w:fldCharType="separate"/>
        </w:r>
        <w:r w:rsidR="002F5B3F">
          <w:rPr>
            <w:webHidden/>
          </w:rPr>
          <w:t>29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3" w:history="1">
        <w:r w:rsidR="002F5B3F" w:rsidRPr="00EE349F">
          <w:rPr>
            <w:rStyle w:val="Kpr"/>
          </w:rPr>
          <w:t>Table 4.2: Transmission System Use and System Operation Tariffs</w:t>
        </w:r>
        <w:r w:rsidR="002F5B3F">
          <w:rPr>
            <w:webHidden/>
          </w:rPr>
          <w:tab/>
        </w:r>
        <w:r w:rsidR="002F5B3F">
          <w:rPr>
            <w:webHidden/>
          </w:rPr>
          <w:fldChar w:fldCharType="begin"/>
        </w:r>
        <w:r w:rsidR="002F5B3F">
          <w:rPr>
            <w:webHidden/>
          </w:rPr>
          <w:instrText xml:space="preserve"> PAGEREF _Toc12958483 \h </w:instrText>
        </w:r>
        <w:r w:rsidR="002F5B3F">
          <w:rPr>
            <w:webHidden/>
          </w:rPr>
        </w:r>
        <w:r w:rsidR="002F5B3F">
          <w:rPr>
            <w:webHidden/>
          </w:rPr>
          <w:fldChar w:fldCharType="separate"/>
        </w:r>
        <w:r w:rsidR="002F5B3F">
          <w:rPr>
            <w:webHidden/>
          </w:rPr>
          <w:t>29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4" w:history="1">
        <w:r w:rsidR="002F5B3F" w:rsidRPr="00EE349F">
          <w:rPr>
            <w:rStyle w:val="Kpr"/>
          </w:rPr>
          <w:t>Table 4.3: Primery Frequency Control Service Fee</w:t>
        </w:r>
        <w:r w:rsidR="002F5B3F">
          <w:rPr>
            <w:webHidden/>
          </w:rPr>
          <w:tab/>
        </w:r>
        <w:r w:rsidR="002F5B3F">
          <w:rPr>
            <w:webHidden/>
          </w:rPr>
          <w:fldChar w:fldCharType="begin"/>
        </w:r>
        <w:r w:rsidR="002F5B3F">
          <w:rPr>
            <w:webHidden/>
          </w:rPr>
          <w:instrText xml:space="preserve"> PAGEREF _Toc12958484 \h </w:instrText>
        </w:r>
        <w:r w:rsidR="002F5B3F">
          <w:rPr>
            <w:webHidden/>
          </w:rPr>
        </w:r>
        <w:r w:rsidR="002F5B3F">
          <w:rPr>
            <w:webHidden/>
          </w:rPr>
          <w:fldChar w:fldCharType="separate"/>
        </w:r>
        <w:r w:rsidR="002F5B3F">
          <w:rPr>
            <w:webHidden/>
          </w:rPr>
          <w:t>30</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5" w:history="1">
        <w:r w:rsidR="002F5B3F" w:rsidRPr="00EE349F">
          <w:rPr>
            <w:rStyle w:val="Kpr"/>
          </w:rPr>
          <w:t>Table 4.4: Board Decisions on Distribution Assigned Supplier Companies’ Tariff Tables</w:t>
        </w:r>
        <w:r w:rsidR="002F5B3F">
          <w:rPr>
            <w:webHidden/>
          </w:rPr>
          <w:tab/>
        </w:r>
        <w:r w:rsidR="002F5B3F">
          <w:rPr>
            <w:webHidden/>
          </w:rPr>
          <w:fldChar w:fldCharType="begin"/>
        </w:r>
        <w:r w:rsidR="002F5B3F">
          <w:rPr>
            <w:webHidden/>
          </w:rPr>
          <w:instrText xml:space="preserve"> PAGEREF _Toc12958485 \h </w:instrText>
        </w:r>
        <w:r w:rsidR="002F5B3F">
          <w:rPr>
            <w:webHidden/>
          </w:rPr>
        </w:r>
        <w:r w:rsidR="002F5B3F">
          <w:rPr>
            <w:webHidden/>
          </w:rPr>
          <w:fldChar w:fldCharType="separate"/>
        </w:r>
        <w:r w:rsidR="002F5B3F">
          <w:rPr>
            <w:webHidden/>
          </w:rPr>
          <w:t>31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6" w:history="1">
        <w:r w:rsidR="002F5B3F" w:rsidRPr="00EE349F">
          <w:rPr>
            <w:rStyle w:val="Kpr"/>
          </w:rPr>
          <w:t>Table 4.5: Board Decisions on System Operation revenue Requirements of Distribution Companies for 2016-2020 Third Implementation Period and Revision of Related Parameters</w:t>
        </w:r>
        <w:r w:rsidR="002F5B3F">
          <w:rPr>
            <w:webHidden/>
          </w:rPr>
          <w:tab/>
        </w:r>
        <w:r w:rsidR="002F5B3F">
          <w:rPr>
            <w:webHidden/>
          </w:rPr>
          <w:fldChar w:fldCharType="begin"/>
        </w:r>
        <w:r w:rsidR="002F5B3F">
          <w:rPr>
            <w:webHidden/>
          </w:rPr>
          <w:instrText xml:space="preserve"> PAGEREF _Toc12958486 \h </w:instrText>
        </w:r>
        <w:r w:rsidR="002F5B3F">
          <w:rPr>
            <w:webHidden/>
          </w:rPr>
        </w:r>
        <w:r w:rsidR="002F5B3F">
          <w:rPr>
            <w:webHidden/>
          </w:rPr>
          <w:fldChar w:fldCharType="separate"/>
        </w:r>
        <w:r w:rsidR="002F5B3F">
          <w:rPr>
            <w:webHidden/>
          </w:rPr>
          <w:t>31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7" w:history="1">
        <w:r w:rsidR="002F5B3F" w:rsidRPr="00EE349F">
          <w:rPr>
            <w:rStyle w:val="Kpr"/>
          </w:rPr>
          <w:t>Table 4.6: Board Decisions on Approval of the System Operation Revenue Caps of Distribution Companies in  2019</w:t>
        </w:r>
        <w:r w:rsidR="002F5B3F">
          <w:rPr>
            <w:webHidden/>
          </w:rPr>
          <w:tab/>
        </w:r>
        <w:r w:rsidR="002F5B3F">
          <w:rPr>
            <w:webHidden/>
          </w:rPr>
          <w:fldChar w:fldCharType="begin"/>
        </w:r>
        <w:r w:rsidR="002F5B3F">
          <w:rPr>
            <w:webHidden/>
          </w:rPr>
          <w:instrText xml:space="preserve"> PAGEREF _Toc12958487 \h </w:instrText>
        </w:r>
        <w:r w:rsidR="002F5B3F">
          <w:rPr>
            <w:webHidden/>
          </w:rPr>
        </w:r>
        <w:r w:rsidR="002F5B3F">
          <w:rPr>
            <w:webHidden/>
          </w:rPr>
          <w:fldChar w:fldCharType="separate"/>
        </w:r>
        <w:r w:rsidR="002F5B3F">
          <w:rPr>
            <w:webHidden/>
          </w:rPr>
          <w:t>32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8" w:history="1">
        <w:r w:rsidR="002F5B3F" w:rsidRPr="00EE349F">
          <w:rPr>
            <w:rStyle w:val="Kpr"/>
          </w:rPr>
          <w:t>Table 4.7: Board Decisions on Approval of Retail Sale revenue Caps of Assigned Supplier Companies in 2019</w:t>
        </w:r>
        <w:r w:rsidR="002F5B3F">
          <w:rPr>
            <w:webHidden/>
          </w:rPr>
          <w:tab/>
        </w:r>
        <w:r w:rsidR="002F5B3F">
          <w:rPr>
            <w:webHidden/>
          </w:rPr>
          <w:fldChar w:fldCharType="begin"/>
        </w:r>
        <w:r w:rsidR="002F5B3F">
          <w:rPr>
            <w:webHidden/>
          </w:rPr>
          <w:instrText xml:space="preserve"> PAGEREF _Toc12958488 \h </w:instrText>
        </w:r>
        <w:r w:rsidR="002F5B3F">
          <w:rPr>
            <w:webHidden/>
          </w:rPr>
        </w:r>
        <w:r w:rsidR="002F5B3F">
          <w:rPr>
            <w:webHidden/>
          </w:rPr>
          <w:fldChar w:fldCharType="separate"/>
        </w:r>
        <w:r w:rsidR="002F5B3F">
          <w:rPr>
            <w:webHidden/>
          </w:rPr>
          <w:t>32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89" w:history="1">
        <w:r w:rsidR="002F5B3F" w:rsidRPr="00EE349F">
          <w:rPr>
            <w:rStyle w:val="Kpr"/>
          </w:rPr>
          <w:t>Table 4.8: Board Decisions on Approval and Revision of Investment Plans for the years 2016-2020</w:t>
        </w:r>
        <w:r w:rsidR="002F5B3F">
          <w:rPr>
            <w:webHidden/>
          </w:rPr>
          <w:tab/>
        </w:r>
        <w:r w:rsidR="002F5B3F">
          <w:rPr>
            <w:webHidden/>
          </w:rPr>
          <w:fldChar w:fldCharType="begin"/>
        </w:r>
        <w:r w:rsidR="002F5B3F">
          <w:rPr>
            <w:webHidden/>
          </w:rPr>
          <w:instrText xml:space="preserve"> PAGEREF _Toc12958489 \h </w:instrText>
        </w:r>
        <w:r w:rsidR="002F5B3F">
          <w:rPr>
            <w:webHidden/>
          </w:rPr>
        </w:r>
        <w:r w:rsidR="002F5B3F">
          <w:rPr>
            <w:webHidden/>
          </w:rPr>
          <w:fldChar w:fldCharType="separate"/>
        </w:r>
        <w:r w:rsidR="002F5B3F">
          <w:rPr>
            <w:webHidden/>
          </w:rPr>
          <w:t>33</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0" w:history="1">
        <w:r w:rsidR="002F5B3F" w:rsidRPr="00EE349F">
          <w:rPr>
            <w:rStyle w:val="Kpr"/>
          </w:rPr>
          <w:t>Table 4.9: Decisions of the Board for the Approval of 2015 Regulatory Investment Realizations</w:t>
        </w:r>
        <w:r w:rsidR="002F5B3F">
          <w:rPr>
            <w:webHidden/>
          </w:rPr>
          <w:tab/>
        </w:r>
        <w:r w:rsidR="002F5B3F">
          <w:rPr>
            <w:webHidden/>
          </w:rPr>
          <w:fldChar w:fldCharType="begin"/>
        </w:r>
        <w:r w:rsidR="002F5B3F">
          <w:rPr>
            <w:webHidden/>
          </w:rPr>
          <w:instrText xml:space="preserve"> PAGEREF _Toc12958490 \h </w:instrText>
        </w:r>
        <w:r w:rsidR="002F5B3F">
          <w:rPr>
            <w:webHidden/>
          </w:rPr>
        </w:r>
        <w:r w:rsidR="002F5B3F">
          <w:rPr>
            <w:webHidden/>
          </w:rPr>
          <w:fldChar w:fldCharType="separate"/>
        </w:r>
        <w:r w:rsidR="002F5B3F">
          <w:rPr>
            <w:webHidden/>
          </w:rPr>
          <w:t>34</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1" w:history="1">
        <w:r w:rsidR="002F5B3F" w:rsidRPr="00EE349F">
          <w:rPr>
            <w:rStyle w:val="Kpr"/>
          </w:rPr>
          <w:t>Table 4.10: Board Decisions on Approval of Investment Realizations Based on Regulation Starting in 2011-2015 Implementation Period and Completed in 2016</w:t>
        </w:r>
        <w:r w:rsidR="002F5B3F">
          <w:rPr>
            <w:webHidden/>
          </w:rPr>
          <w:tab/>
        </w:r>
        <w:r w:rsidR="002F5B3F">
          <w:rPr>
            <w:webHidden/>
          </w:rPr>
          <w:fldChar w:fldCharType="begin"/>
        </w:r>
        <w:r w:rsidR="002F5B3F">
          <w:rPr>
            <w:webHidden/>
          </w:rPr>
          <w:instrText xml:space="preserve"> PAGEREF _Toc12958491 \h </w:instrText>
        </w:r>
        <w:r w:rsidR="002F5B3F">
          <w:rPr>
            <w:webHidden/>
          </w:rPr>
        </w:r>
        <w:r w:rsidR="002F5B3F">
          <w:rPr>
            <w:webHidden/>
          </w:rPr>
          <w:fldChar w:fldCharType="separate"/>
        </w:r>
        <w:r w:rsidR="002F5B3F">
          <w:rPr>
            <w:webHidden/>
          </w:rPr>
          <w:t>35</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2" w:history="1">
        <w:r w:rsidR="002F5B3F" w:rsidRPr="00EE349F">
          <w:rPr>
            <w:rStyle w:val="Kpr"/>
          </w:rPr>
          <w:t>Table 4.11: Investment Amounts by regions in 2018 (With Current prices-TL)</w:t>
        </w:r>
        <w:r w:rsidR="002F5B3F">
          <w:rPr>
            <w:webHidden/>
          </w:rPr>
          <w:tab/>
        </w:r>
        <w:r w:rsidR="002F5B3F">
          <w:rPr>
            <w:webHidden/>
          </w:rPr>
          <w:fldChar w:fldCharType="begin"/>
        </w:r>
        <w:r w:rsidR="002F5B3F">
          <w:rPr>
            <w:webHidden/>
          </w:rPr>
          <w:instrText xml:space="preserve"> PAGEREF _Toc12958492 \h </w:instrText>
        </w:r>
        <w:r w:rsidR="002F5B3F">
          <w:rPr>
            <w:webHidden/>
          </w:rPr>
        </w:r>
        <w:r w:rsidR="002F5B3F">
          <w:rPr>
            <w:webHidden/>
          </w:rPr>
          <w:fldChar w:fldCharType="separate"/>
        </w:r>
        <w:r w:rsidR="002F5B3F">
          <w:rPr>
            <w:webHidden/>
          </w:rPr>
          <w:t>36</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3" w:history="1">
        <w:r w:rsidR="002F5B3F" w:rsidRPr="00EE349F">
          <w:rPr>
            <w:rStyle w:val="Kpr"/>
          </w:rPr>
          <w:t>Table 4.12: Distribution System Connection Fees</w:t>
        </w:r>
        <w:r w:rsidR="002F5B3F">
          <w:rPr>
            <w:webHidden/>
          </w:rPr>
          <w:tab/>
        </w:r>
        <w:r w:rsidR="002F5B3F">
          <w:rPr>
            <w:webHidden/>
          </w:rPr>
          <w:fldChar w:fldCharType="begin"/>
        </w:r>
        <w:r w:rsidR="002F5B3F">
          <w:rPr>
            <w:webHidden/>
          </w:rPr>
          <w:instrText xml:space="preserve"> PAGEREF _Toc12958493 \h </w:instrText>
        </w:r>
        <w:r w:rsidR="002F5B3F">
          <w:rPr>
            <w:webHidden/>
          </w:rPr>
        </w:r>
        <w:r w:rsidR="002F5B3F">
          <w:rPr>
            <w:webHidden/>
          </w:rPr>
          <w:fldChar w:fldCharType="separate"/>
        </w:r>
        <w:r w:rsidR="002F5B3F">
          <w:rPr>
            <w:webHidden/>
          </w:rPr>
          <w:t>37</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4" w:history="1">
        <w:r w:rsidR="002F5B3F" w:rsidRPr="00EE349F">
          <w:rPr>
            <w:rStyle w:val="Kpr"/>
          </w:rPr>
          <w:t>Table 4.13: Connecting-Disconnecting Fees</w:t>
        </w:r>
        <w:r w:rsidR="002F5B3F">
          <w:rPr>
            <w:webHidden/>
          </w:rPr>
          <w:tab/>
        </w:r>
        <w:r w:rsidR="002F5B3F">
          <w:rPr>
            <w:webHidden/>
          </w:rPr>
          <w:fldChar w:fldCharType="begin"/>
        </w:r>
        <w:r w:rsidR="002F5B3F">
          <w:rPr>
            <w:webHidden/>
          </w:rPr>
          <w:instrText xml:space="preserve"> PAGEREF _Toc12958494 \h </w:instrText>
        </w:r>
        <w:r w:rsidR="002F5B3F">
          <w:rPr>
            <w:webHidden/>
          </w:rPr>
        </w:r>
        <w:r w:rsidR="002F5B3F">
          <w:rPr>
            <w:webHidden/>
          </w:rPr>
          <w:fldChar w:fldCharType="separate"/>
        </w:r>
        <w:r w:rsidR="002F5B3F">
          <w:rPr>
            <w:webHidden/>
          </w:rPr>
          <w:t>37</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5" w:history="1">
        <w:r w:rsidR="002F5B3F" w:rsidRPr="00EE349F">
          <w:rPr>
            <w:rStyle w:val="Kpr"/>
          </w:rPr>
          <w:t>Table 4.14: Security Deposits</w:t>
        </w:r>
        <w:r w:rsidR="002F5B3F">
          <w:rPr>
            <w:webHidden/>
          </w:rPr>
          <w:tab/>
        </w:r>
        <w:r w:rsidR="002F5B3F">
          <w:rPr>
            <w:webHidden/>
          </w:rPr>
          <w:fldChar w:fldCharType="begin"/>
        </w:r>
        <w:r w:rsidR="002F5B3F">
          <w:rPr>
            <w:webHidden/>
          </w:rPr>
          <w:instrText xml:space="preserve"> PAGEREF _Toc12958495 \h </w:instrText>
        </w:r>
        <w:r w:rsidR="002F5B3F">
          <w:rPr>
            <w:webHidden/>
          </w:rPr>
        </w:r>
        <w:r w:rsidR="002F5B3F">
          <w:rPr>
            <w:webHidden/>
          </w:rPr>
          <w:fldChar w:fldCharType="separate"/>
        </w:r>
        <w:r w:rsidR="002F5B3F">
          <w:rPr>
            <w:webHidden/>
          </w:rPr>
          <w:t>38</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6" w:history="1">
        <w:r w:rsidR="002F5B3F" w:rsidRPr="00EE349F">
          <w:rPr>
            <w:rStyle w:val="Kpr"/>
          </w:rPr>
          <w:t>Table 4.15: Meter Control Fees</w:t>
        </w:r>
        <w:r w:rsidR="002F5B3F">
          <w:rPr>
            <w:webHidden/>
          </w:rPr>
          <w:tab/>
        </w:r>
        <w:r w:rsidR="002F5B3F">
          <w:rPr>
            <w:webHidden/>
          </w:rPr>
          <w:fldChar w:fldCharType="begin"/>
        </w:r>
        <w:r w:rsidR="002F5B3F">
          <w:rPr>
            <w:webHidden/>
          </w:rPr>
          <w:instrText xml:space="preserve"> PAGEREF _Toc12958496 \h </w:instrText>
        </w:r>
        <w:r w:rsidR="002F5B3F">
          <w:rPr>
            <w:webHidden/>
          </w:rPr>
        </w:r>
        <w:r w:rsidR="002F5B3F">
          <w:rPr>
            <w:webHidden/>
          </w:rPr>
          <w:fldChar w:fldCharType="separate"/>
        </w:r>
        <w:r w:rsidR="002F5B3F">
          <w:rPr>
            <w:webHidden/>
          </w:rPr>
          <w:t>38</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7" w:history="1">
        <w:r w:rsidR="002F5B3F" w:rsidRPr="00EE349F">
          <w:rPr>
            <w:rStyle w:val="Kpr"/>
          </w:rPr>
          <w:t>Table 4.16: Exempted Generation Application Fee</w:t>
        </w:r>
        <w:r w:rsidR="002F5B3F">
          <w:rPr>
            <w:webHidden/>
          </w:rPr>
          <w:tab/>
        </w:r>
        <w:r w:rsidR="002F5B3F">
          <w:rPr>
            <w:webHidden/>
          </w:rPr>
          <w:fldChar w:fldCharType="begin"/>
        </w:r>
        <w:r w:rsidR="002F5B3F">
          <w:rPr>
            <w:webHidden/>
          </w:rPr>
          <w:instrText xml:space="preserve"> PAGEREF _Toc12958497 \h </w:instrText>
        </w:r>
        <w:r w:rsidR="002F5B3F">
          <w:rPr>
            <w:webHidden/>
          </w:rPr>
        </w:r>
        <w:r w:rsidR="002F5B3F">
          <w:rPr>
            <w:webHidden/>
          </w:rPr>
          <w:fldChar w:fldCharType="separate"/>
        </w:r>
        <w:r w:rsidR="002F5B3F">
          <w:rPr>
            <w:webHidden/>
          </w:rPr>
          <w:t>38</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8" w:history="1">
        <w:r w:rsidR="002F5B3F" w:rsidRPr="00EE349F">
          <w:rPr>
            <w:rStyle w:val="Kpr"/>
          </w:rPr>
          <w:t>Table 4.17: Exempted Generation Operational Cost (Assigned Supplier Companies)</w:t>
        </w:r>
        <w:r w:rsidR="002F5B3F">
          <w:rPr>
            <w:webHidden/>
          </w:rPr>
          <w:tab/>
        </w:r>
        <w:r w:rsidR="002F5B3F">
          <w:rPr>
            <w:webHidden/>
          </w:rPr>
          <w:fldChar w:fldCharType="begin"/>
        </w:r>
        <w:r w:rsidR="002F5B3F">
          <w:rPr>
            <w:webHidden/>
          </w:rPr>
          <w:instrText xml:space="preserve"> PAGEREF _Toc12958498 \h </w:instrText>
        </w:r>
        <w:r w:rsidR="002F5B3F">
          <w:rPr>
            <w:webHidden/>
          </w:rPr>
        </w:r>
        <w:r w:rsidR="002F5B3F">
          <w:rPr>
            <w:webHidden/>
          </w:rPr>
          <w:fldChar w:fldCharType="separate"/>
        </w:r>
        <w:r w:rsidR="002F5B3F">
          <w:rPr>
            <w:webHidden/>
          </w:rPr>
          <w:t>39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499" w:history="1">
        <w:r w:rsidR="002F5B3F" w:rsidRPr="00EE349F">
          <w:rPr>
            <w:rStyle w:val="Kpr"/>
          </w:rPr>
          <w:t>Table 4.18: Exempted Generation Operational Cost  (Electricity Distribution Companies)</w:t>
        </w:r>
        <w:r w:rsidR="002F5B3F">
          <w:rPr>
            <w:webHidden/>
          </w:rPr>
          <w:tab/>
        </w:r>
        <w:r w:rsidR="002F5B3F">
          <w:rPr>
            <w:webHidden/>
          </w:rPr>
          <w:fldChar w:fldCharType="begin"/>
        </w:r>
        <w:r w:rsidR="002F5B3F">
          <w:rPr>
            <w:webHidden/>
          </w:rPr>
          <w:instrText xml:space="preserve"> PAGEREF _Toc12958499 \h </w:instrText>
        </w:r>
        <w:r w:rsidR="002F5B3F">
          <w:rPr>
            <w:webHidden/>
          </w:rPr>
        </w:r>
        <w:r w:rsidR="002F5B3F">
          <w:rPr>
            <w:webHidden/>
          </w:rPr>
          <w:fldChar w:fldCharType="separate"/>
        </w:r>
        <w:r w:rsidR="002F5B3F">
          <w:rPr>
            <w:webHidden/>
          </w:rPr>
          <w:t>39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0" w:history="1">
        <w:r w:rsidR="002F5B3F" w:rsidRPr="00EE349F">
          <w:rPr>
            <w:rStyle w:val="Kpr"/>
          </w:rPr>
          <w:t>Table 4.19: EPİAŞ Market Operation Price Cap in 2019</w:t>
        </w:r>
        <w:r w:rsidR="002F5B3F">
          <w:rPr>
            <w:webHidden/>
          </w:rPr>
          <w:tab/>
        </w:r>
        <w:r w:rsidR="002F5B3F">
          <w:rPr>
            <w:webHidden/>
          </w:rPr>
          <w:fldChar w:fldCharType="begin"/>
        </w:r>
        <w:r w:rsidR="002F5B3F">
          <w:rPr>
            <w:webHidden/>
          </w:rPr>
          <w:instrText xml:space="preserve"> PAGEREF _Toc12958500 \h </w:instrText>
        </w:r>
        <w:r w:rsidR="002F5B3F">
          <w:rPr>
            <w:webHidden/>
          </w:rPr>
        </w:r>
        <w:r w:rsidR="002F5B3F">
          <w:rPr>
            <w:webHidden/>
          </w:rPr>
          <w:fldChar w:fldCharType="separate"/>
        </w:r>
        <w:r w:rsidR="002F5B3F">
          <w:rPr>
            <w:webHidden/>
          </w:rPr>
          <w:t>39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1" w:history="1">
        <w:r w:rsidR="002F5B3F" w:rsidRPr="00EE349F">
          <w:rPr>
            <w:rStyle w:val="Kpr"/>
          </w:rPr>
          <w:t>Table 4.20: TETAŞ/EÜAŞ Wholesale Tariffs (for the sale of twchnical and non-technical loses to</w:t>
        </w:r>
        <w:r w:rsidR="002F5B3F">
          <w:rPr>
            <w:webHidden/>
          </w:rPr>
          <w:tab/>
        </w:r>
        <w:r w:rsidR="002F5B3F">
          <w:rPr>
            <w:webHidden/>
          </w:rPr>
          <w:fldChar w:fldCharType="begin"/>
        </w:r>
        <w:r w:rsidR="002F5B3F">
          <w:rPr>
            <w:webHidden/>
          </w:rPr>
          <w:instrText xml:space="preserve"> PAGEREF _Toc12958501 \h </w:instrText>
        </w:r>
        <w:r w:rsidR="002F5B3F">
          <w:rPr>
            <w:webHidden/>
          </w:rPr>
        </w:r>
        <w:r w:rsidR="002F5B3F">
          <w:rPr>
            <w:webHidden/>
          </w:rPr>
          <w:fldChar w:fldCharType="separate"/>
        </w:r>
        <w:r w:rsidR="002F5B3F">
          <w:rPr>
            <w:webHidden/>
          </w:rPr>
          <w:t>40</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2" w:history="1">
        <w:r w:rsidR="002F5B3F" w:rsidRPr="00EE349F">
          <w:rPr>
            <w:rStyle w:val="Kpr"/>
          </w:rPr>
          <w:t>assigned supplier companies and Distribution Companies)</w:t>
        </w:r>
        <w:r w:rsidR="002F5B3F">
          <w:rPr>
            <w:webHidden/>
          </w:rPr>
          <w:tab/>
        </w:r>
        <w:r w:rsidR="002F5B3F">
          <w:rPr>
            <w:webHidden/>
          </w:rPr>
          <w:fldChar w:fldCharType="begin"/>
        </w:r>
        <w:r w:rsidR="002F5B3F">
          <w:rPr>
            <w:webHidden/>
          </w:rPr>
          <w:instrText xml:space="preserve"> PAGEREF _Toc12958502 \h </w:instrText>
        </w:r>
        <w:r w:rsidR="002F5B3F">
          <w:rPr>
            <w:webHidden/>
          </w:rPr>
        </w:r>
        <w:r w:rsidR="002F5B3F">
          <w:rPr>
            <w:webHidden/>
          </w:rPr>
          <w:fldChar w:fldCharType="separate"/>
        </w:r>
        <w:r w:rsidR="002F5B3F">
          <w:rPr>
            <w:webHidden/>
          </w:rPr>
          <w:t>40</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3" w:history="1">
        <w:r w:rsidR="002F5B3F" w:rsidRPr="00EE349F">
          <w:rPr>
            <w:rStyle w:val="Kpr"/>
          </w:rPr>
          <w:t>Table 4.21: TETAŞ Wholesale tariffs  (for the sales to the Distribution Companies with regard to generatl lighting)</w:t>
        </w:r>
        <w:r w:rsidR="002F5B3F">
          <w:rPr>
            <w:webHidden/>
          </w:rPr>
          <w:tab/>
        </w:r>
        <w:r w:rsidR="002F5B3F">
          <w:rPr>
            <w:webHidden/>
          </w:rPr>
          <w:fldChar w:fldCharType="begin"/>
        </w:r>
        <w:r w:rsidR="002F5B3F">
          <w:rPr>
            <w:webHidden/>
          </w:rPr>
          <w:instrText xml:space="preserve"> PAGEREF _Toc12958503 \h </w:instrText>
        </w:r>
        <w:r w:rsidR="002F5B3F">
          <w:rPr>
            <w:webHidden/>
          </w:rPr>
        </w:r>
        <w:r w:rsidR="002F5B3F">
          <w:rPr>
            <w:webHidden/>
          </w:rPr>
          <w:fldChar w:fldCharType="separate"/>
        </w:r>
        <w:r w:rsidR="002F5B3F">
          <w:rPr>
            <w:webHidden/>
          </w:rPr>
          <w:t>40</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4" w:history="1">
        <w:r w:rsidR="002F5B3F" w:rsidRPr="00EE349F">
          <w:rPr>
            <w:rStyle w:val="Kpr"/>
          </w:rPr>
          <w:t>Table 4.22: Transmission capacity fee upper limits</w:t>
        </w:r>
        <w:r w:rsidR="002F5B3F">
          <w:rPr>
            <w:webHidden/>
          </w:rPr>
          <w:tab/>
        </w:r>
        <w:r w:rsidR="002F5B3F">
          <w:rPr>
            <w:webHidden/>
          </w:rPr>
          <w:fldChar w:fldCharType="begin"/>
        </w:r>
        <w:r w:rsidR="002F5B3F">
          <w:rPr>
            <w:webHidden/>
          </w:rPr>
          <w:instrText xml:space="preserve"> PAGEREF _Toc12958504 \h </w:instrText>
        </w:r>
        <w:r w:rsidR="002F5B3F">
          <w:rPr>
            <w:webHidden/>
          </w:rPr>
        </w:r>
        <w:r w:rsidR="002F5B3F">
          <w:rPr>
            <w:webHidden/>
          </w:rPr>
          <w:fldChar w:fldCharType="separate"/>
        </w:r>
        <w:r w:rsidR="002F5B3F">
          <w:rPr>
            <w:webHidden/>
          </w:rPr>
          <w:t>41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5" w:history="1">
        <w:r w:rsidR="002F5B3F" w:rsidRPr="00EE349F">
          <w:rPr>
            <w:rStyle w:val="Kpr"/>
          </w:rPr>
          <w:t>Table 4.23: Transmission Service Fee Upper Limit of BOTAŞ</w:t>
        </w:r>
        <w:r w:rsidR="002F5B3F">
          <w:rPr>
            <w:webHidden/>
          </w:rPr>
          <w:tab/>
        </w:r>
        <w:r w:rsidR="002F5B3F">
          <w:rPr>
            <w:webHidden/>
          </w:rPr>
          <w:fldChar w:fldCharType="begin"/>
        </w:r>
        <w:r w:rsidR="002F5B3F">
          <w:rPr>
            <w:webHidden/>
          </w:rPr>
          <w:instrText xml:space="preserve"> PAGEREF _Toc12958505 \h </w:instrText>
        </w:r>
        <w:r w:rsidR="002F5B3F">
          <w:rPr>
            <w:webHidden/>
          </w:rPr>
        </w:r>
        <w:r w:rsidR="002F5B3F">
          <w:rPr>
            <w:webHidden/>
          </w:rPr>
          <w:fldChar w:fldCharType="separate"/>
        </w:r>
        <w:r w:rsidR="002F5B3F">
          <w:rPr>
            <w:webHidden/>
          </w:rPr>
          <w:t>41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6" w:history="1">
        <w:r w:rsidR="002F5B3F" w:rsidRPr="00EE349F">
          <w:rPr>
            <w:rStyle w:val="Kpr"/>
          </w:rPr>
          <w:t>Table 4.24: Investment Cap of BOTAŞ for second implementation period</w:t>
        </w:r>
        <w:r w:rsidR="002F5B3F">
          <w:rPr>
            <w:webHidden/>
          </w:rPr>
          <w:tab/>
        </w:r>
        <w:r w:rsidR="002F5B3F">
          <w:rPr>
            <w:webHidden/>
          </w:rPr>
          <w:fldChar w:fldCharType="begin"/>
        </w:r>
        <w:r w:rsidR="002F5B3F">
          <w:rPr>
            <w:webHidden/>
          </w:rPr>
          <w:instrText xml:space="preserve"> PAGEREF _Toc12958506 \h </w:instrText>
        </w:r>
        <w:r w:rsidR="002F5B3F">
          <w:rPr>
            <w:webHidden/>
          </w:rPr>
        </w:r>
        <w:r w:rsidR="002F5B3F">
          <w:rPr>
            <w:webHidden/>
          </w:rPr>
          <w:fldChar w:fldCharType="separate"/>
        </w:r>
        <w:r w:rsidR="002F5B3F">
          <w:rPr>
            <w:webHidden/>
          </w:rPr>
          <w:t>42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7" w:history="1">
        <w:r w:rsidR="002F5B3F" w:rsidRPr="00EE349F">
          <w:rPr>
            <w:rStyle w:val="Kpr"/>
          </w:rPr>
          <w:t>Table 4.25: Revenue requirement of BOTAŞ for second implementation period</w:t>
        </w:r>
        <w:r w:rsidR="002F5B3F">
          <w:rPr>
            <w:webHidden/>
          </w:rPr>
          <w:tab/>
        </w:r>
        <w:r w:rsidR="002F5B3F">
          <w:rPr>
            <w:webHidden/>
          </w:rPr>
          <w:fldChar w:fldCharType="begin"/>
        </w:r>
        <w:r w:rsidR="002F5B3F">
          <w:rPr>
            <w:webHidden/>
          </w:rPr>
          <w:instrText xml:space="preserve"> PAGEREF _Toc12958507 \h </w:instrText>
        </w:r>
        <w:r w:rsidR="002F5B3F">
          <w:rPr>
            <w:webHidden/>
          </w:rPr>
        </w:r>
        <w:r w:rsidR="002F5B3F">
          <w:rPr>
            <w:webHidden/>
          </w:rPr>
          <w:fldChar w:fldCharType="separate"/>
        </w:r>
        <w:r w:rsidR="002F5B3F">
          <w:rPr>
            <w:webHidden/>
          </w:rPr>
          <w:t>42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8" w:history="1">
        <w:r w:rsidR="002F5B3F" w:rsidRPr="00EE349F">
          <w:rPr>
            <w:rStyle w:val="Kpr"/>
          </w:rPr>
          <w:t>Table 4.26: Connection tariffs determined for Distribution Companies</w:t>
        </w:r>
        <w:r w:rsidR="002F5B3F">
          <w:rPr>
            <w:webHidden/>
          </w:rPr>
          <w:tab/>
        </w:r>
        <w:r w:rsidR="002F5B3F">
          <w:rPr>
            <w:webHidden/>
          </w:rPr>
          <w:fldChar w:fldCharType="begin"/>
        </w:r>
        <w:r w:rsidR="002F5B3F">
          <w:rPr>
            <w:webHidden/>
          </w:rPr>
          <w:instrText xml:space="preserve"> PAGEREF _Toc12958508 \h </w:instrText>
        </w:r>
        <w:r w:rsidR="002F5B3F">
          <w:rPr>
            <w:webHidden/>
          </w:rPr>
        </w:r>
        <w:r w:rsidR="002F5B3F">
          <w:rPr>
            <w:webHidden/>
          </w:rPr>
          <w:fldChar w:fldCharType="separate"/>
        </w:r>
        <w:r w:rsidR="002F5B3F">
          <w:rPr>
            <w:webHidden/>
          </w:rPr>
          <w:t>42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09" w:history="1">
        <w:r w:rsidR="002F5B3F" w:rsidRPr="00EE349F">
          <w:rPr>
            <w:rStyle w:val="Kpr"/>
          </w:rPr>
          <w:t>Table 4.27: Internal installation project approval, supervision, testing and commissioning transactions max. fees set forth by the Authority</w:t>
        </w:r>
        <w:r w:rsidR="002F5B3F">
          <w:rPr>
            <w:webHidden/>
          </w:rPr>
          <w:tab/>
        </w:r>
        <w:r w:rsidR="002F5B3F">
          <w:rPr>
            <w:webHidden/>
          </w:rPr>
          <w:fldChar w:fldCharType="begin"/>
        </w:r>
        <w:r w:rsidR="002F5B3F">
          <w:rPr>
            <w:webHidden/>
          </w:rPr>
          <w:instrText xml:space="preserve"> PAGEREF _Toc12958509 \h </w:instrText>
        </w:r>
        <w:r w:rsidR="002F5B3F">
          <w:rPr>
            <w:webHidden/>
          </w:rPr>
        </w:r>
        <w:r w:rsidR="002F5B3F">
          <w:rPr>
            <w:webHidden/>
          </w:rPr>
          <w:fldChar w:fldCharType="separate"/>
        </w:r>
        <w:r w:rsidR="002F5B3F">
          <w:rPr>
            <w:webHidden/>
          </w:rPr>
          <w:t>43</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0" w:history="1">
        <w:r w:rsidR="002F5B3F" w:rsidRPr="00EE349F">
          <w:rPr>
            <w:rStyle w:val="Kpr"/>
          </w:rPr>
          <w:t>Table 4.28: Natural Gas Distribution Companies With Board Decision Regarding Retail Tariffs In 2018</w:t>
        </w:r>
        <w:r w:rsidR="002F5B3F">
          <w:rPr>
            <w:webHidden/>
          </w:rPr>
          <w:tab/>
        </w:r>
        <w:r w:rsidR="002F5B3F">
          <w:rPr>
            <w:webHidden/>
          </w:rPr>
          <w:fldChar w:fldCharType="begin"/>
        </w:r>
        <w:r w:rsidR="002F5B3F">
          <w:rPr>
            <w:webHidden/>
          </w:rPr>
          <w:instrText xml:space="preserve"> PAGEREF _Toc12958510 \h </w:instrText>
        </w:r>
        <w:r w:rsidR="002F5B3F">
          <w:rPr>
            <w:webHidden/>
          </w:rPr>
        </w:r>
        <w:r w:rsidR="002F5B3F">
          <w:rPr>
            <w:webHidden/>
          </w:rPr>
          <w:fldChar w:fldCharType="separate"/>
        </w:r>
        <w:r w:rsidR="002F5B3F">
          <w:rPr>
            <w:webHidden/>
          </w:rPr>
          <w:t>44</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1" w:history="1">
        <w:r w:rsidR="002F5B3F" w:rsidRPr="00EE349F">
          <w:rPr>
            <w:rStyle w:val="Kpr"/>
          </w:rPr>
          <w:t>Table 5.1: Feedback from Project Users in 2018</w:t>
        </w:r>
        <w:r w:rsidR="002F5B3F">
          <w:rPr>
            <w:webHidden/>
          </w:rPr>
          <w:tab/>
        </w:r>
        <w:r w:rsidR="002F5B3F">
          <w:rPr>
            <w:webHidden/>
          </w:rPr>
          <w:fldChar w:fldCharType="begin"/>
        </w:r>
        <w:r w:rsidR="002F5B3F">
          <w:rPr>
            <w:webHidden/>
          </w:rPr>
          <w:instrText xml:space="preserve"> PAGEREF _Toc12958511 \h </w:instrText>
        </w:r>
        <w:r w:rsidR="002F5B3F">
          <w:rPr>
            <w:webHidden/>
          </w:rPr>
        </w:r>
        <w:r w:rsidR="002F5B3F">
          <w:rPr>
            <w:webHidden/>
          </w:rPr>
          <w:fldChar w:fldCharType="separate"/>
        </w:r>
        <w:r w:rsidR="002F5B3F">
          <w:rPr>
            <w:webHidden/>
          </w:rPr>
          <w:t>52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2" w:history="1">
        <w:r w:rsidR="002F5B3F" w:rsidRPr="00EE349F">
          <w:rPr>
            <w:rStyle w:val="Kpr"/>
          </w:rPr>
          <w:t>Table 6.1: Transfer of Funds to the signatories of the protocol for audits between 2016-2018</w:t>
        </w:r>
        <w:r w:rsidR="002F5B3F">
          <w:rPr>
            <w:webHidden/>
          </w:rPr>
          <w:tab/>
        </w:r>
        <w:r w:rsidR="002F5B3F">
          <w:rPr>
            <w:webHidden/>
          </w:rPr>
          <w:fldChar w:fldCharType="begin"/>
        </w:r>
        <w:r w:rsidR="002F5B3F">
          <w:rPr>
            <w:webHidden/>
          </w:rPr>
          <w:instrText xml:space="preserve"> PAGEREF _Toc12958512 \h </w:instrText>
        </w:r>
        <w:r w:rsidR="002F5B3F">
          <w:rPr>
            <w:webHidden/>
          </w:rPr>
        </w:r>
        <w:r w:rsidR="002F5B3F">
          <w:rPr>
            <w:webHidden/>
          </w:rPr>
          <w:fldChar w:fldCharType="separate"/>
        </w:r>
        <w:r w:rsidR="002F5B3F">
          <w:rPr>
            <w:webHidden/>
          </w:rPr>
          <w:t>54</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3" w:history="1">
        <w:r w:rsidR="002F5B3F" w:rsidRPr="00EE349F">
          <w:rPr>
            <w:rStyle w:val="Kpr"/>
          </w:rPr>
          <w:t>Table 6.2: Benchmarking Resut Analysis of national Marker Field Equipment (XP)for years 2016-2018</w:t>
        </w:r>
        <w:r w:rsidR="002F5B3F">
          <w:rPr>
            <w:webHidden/>
          </w:rPr>
          <w:tab/>
        </w:r>
        <w:r w:rsidR="002F5B3F">
          <w:rPr>
            <w:webHidden/>
          </w:rPr>
          <w:fldChar w:fldCharType="begin"/>
        </w:r>
        <w:r w:rsidR="002F5B3F">
          <w:rPr>
            <w:webHidden/>
          </w:rPr>
          <w:instrText xml:space="preserve"> PAGEREF _Toc12958513 \h </w:instrText>
        </w:r>
        <w:r w:rsidR="002F5B3F">
          <w:rPr>
            <w:webHidden/>
          </w:rPr>
        </w:r>
        <w:r w:rsidR="002F5B3F">
          <w:rPr>
            <w:webHidden/>
          </w:rPr>
          <w:fldChar w:fldCharType="separate"/>
        </w:r>
        <w:r w:rsidR="002F5B3F">
          <w:rPr>
            <w:webHidden/>
          </w:rPr>
          <w:t>55</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4" w:history="1">
        <w:r w:rsidR="002F5B3F" w:rsidRPr="00EE349F">
          <w:rPr>
            <w:rStyle w:val="Kpr"/>
          </w:rPr>
          <w:t>Table 6.3: Dispersion of administrative fines imposed in Petroleum Market in 2018 by license types</w:t>
        </w:r>
        <w:r w:rsidR="002F5B3F">
          <w:rPr>
            <w:webHidden/>
          </w:rPr>
          <w:tab/>
        </w:r>
        <w:r w:rsidR="002F5B3F">
          <w:rPr>
            <w:webHidden/>
          </w:rPr>
          <w:fldChar w:fldCharType="begin"/>
        </w:r>
        <w:r w:rsidR="002F5B3F">
          <w:rPr>
            <w:webHidden/>
          </w:rPr>
          <w:instrText xml:space="preserve"> PAGEREF _Toc12958514 \h </w:instrText>
        </w:r>
        <w:r w:rsidR="002F5B3F">
          <w:rPr>
            <w:webHidden/>
          </w:rPr>
        </w:r>
        <w:r w:rsidR="002F5B3F">
          <w:rPr>
            <w:webHidden/>
          </w:rPr>
          <w:fldChar w:fldCharType="separate"/>
        </w:r>
        <w:r w:rsidR="002F5B3F">
          <w:rPr>
            <w:webHidden/>
          </w:rPr>
          <w:t>56</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5" w:history="1">
        <w:r w:rsidR="002F5B3F" w:rsidRPr="00EE349F">
          <w:rPr>
            <w:rStyle w:val="Kpr"/>
          </w:rPr>
          <w:t>Table 6.4: Dispersion of administrative fines imposed in Petroleum Market in 2017-2018 by license types</w:t>
        </w:r>
        <w:r w:rsidR="002F5B3F">
          <w:rPr>
            <w:webHidden/>
          </w:rPr>
          <w:tab/>
        </w:r>
        <w:r w:rsidR="002F5B3F">
          <w:rPr>
            <w:webHidden/>
          </w:rPr>
          <w:fldChar w:fldCharType="begin"/>
        </w:r>
        <w:r w:rsidR="002F5B3F">
          <w:rPr>
            <w:webHidden/>
          </w:rPr>
          <w:instrText xml:space="preserve"> PAGEREF _Toc12958515 \h </w:instrText>
        </w:r>
        <w:r w:rsidR="002F5B3F">
          <w:rPr>
            <w:webHidden/>
          </w:rPr>
        </w:r>
        <w:r w:rsidR="002F5B3F">
          <w:rPr>
            <w:webHidden/>
          </w:rPr>
          <w:fldChar w:fldCharType="separate"/>
        </w:r>
        <w:r w:rsidR="002F5B3F">
          <w:rPr>
            <w:webHidden/>
          </w:rPr>
          <w:t>56</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6" w:history="1">
        <w:r w:rsidR="002F5B3F" w:rsidRPr="00EE349F">
          <w:rPr>
            <w:rStyle w:val="Kpr"/>
          </w:rPr>
          <w:t>Table 6.5: Dispersion of Administrative Fines Imposed in Petroleum Market in 2017 by subject matters</w:t>
        </w:r>
        <w:r w:rsidR="002F5B3F">
          <w:rPr>
            <w:webHidden/>
          </w:rPr>
          <w:tab/>
        </w:r>
        <w:r w:rsidR="002F5B3F">
          <w:rPr>
            <w:webHidden/>
          </w:rPr>
          <w:fldChar w:fldCharType="begin"/>
        </w:r>
        <w:r w:rsidR="002F5B3F">
          <w:rPr>
            <w:webHidden/>
          </w:rPr>
          <w:instrText xml:space="preserve"> PAGEREF _Toc12958516 \h </w:instrText>
        </w:r>
        <w:r w:rsidR="002F5B3F">
          <w:rPr>
            <w:webHidden/>
          </w:rPr>
        </w:r>
        <w:r w:rsidR="002F5B3F">
          <w:rPr>
            <w:webHidden/>
          </w:rPr>
          <w:fldChar w:fldCharType="separate"/>
        </w:r>
        <w:r w:rsidR="002F5B3F">
          <w:rPr>
            <w:webHidden/>
          </w:rPr>
          <w:t>56</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7" w:history="1">
        <w:r w:rsidR="002F5B3F" w:rsidRPr="00EE349F">
          <w:rPr>
            <w:rStyle w:val="Kpr"/>
          </w:rPr>
          <w:t>Table 6.6: Dispersion of the administrative fines imposed in 2018 in LPG Market by the license types</w:t>
        </w:r>
        <w:r w:rsidR="002F5B3F">
          <w:rPr>
            <w:webHidden/>
          </w:rPr>
          <w:tab/>
        </w:r>
        <w:r w:rsidR="002F5B3F">
          <w:rPr>
            <w:webHidden/>
          </w:rPr>
          <w:fldChar w:fldCharType="begin"/>
        </w:r>
        <w:r w:rsidR="002F5B3F">
          <w:rPr>
            <w:webHidden/>
          </w:rPr>
          <w:instrText xml:space="preserve"> PAGEREF _Toc12958517 \h </w:instrText>
        </w:r>
        <w:r w:rsidR="002F5B3F">
          <w:rPr>
            <w:webHidden/>
          </w:rPr>
        </w:r>
        <w:r w:rsidR="002F5B3F">
          <w:rPr>
            <w:webHidden/>
          </w:rPr>
          <w:fldChar w:fldCharType="separate"/>
        </w:r>
        <w:r w:rsidR="002F5B3F">
          <w:rPr>
            <w:webHidden/>
          </w:rPr>
          <w:t>57</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8" w:history="1">
        <w:r w:rsidR="002F5B3F" w:rsidRPr="00EE349F">
          <w:rPr>
            <w:rStyle w:val="Kpr"/>
          </w:rPr>
          <w:t>Table 6.7: Dispersion of the administartive fines imposed in  2017-2018 in LPG market by license type</w:t>
        </w:r>
        <w:r w:rsidR="002F5B3F">
          <w:rPr>
            <w:webHidden/>
          </w:rPr>
          <w:tab/>
        </w:r>
        <w:r w:rsidR="002F5B3F">
          <w:rPr>
            <w:webHidden/>
          </w:rPr>
          <w:fldChar w:fldCharType="begin"/>
        </w:r>
        <w:r w:rsidR="002F5B3F">
          <w:rPr>
            <w:webHidden/>
          </w:rPr>
          <w:instrText xml:space="preserve"> PAGEREF _Toc12958518 \h </w:instrText>
        </w:r>
        <w:r w:rsidR="002F5B3F">
          <w:rPr>
            <w:webHidden/>
          </w:rPr>
        </w:r>
        <w:r w:rsidR="002F5B3F">
          <w:rPr>
            <w:webHidden/>
          </w:rPr>
          <w:fldChar w:fldCharType="separate"/>
        </w:r>
        <w:r w:rsidR="002F5B3F">
          <w:rPr>
            <w:webHidden/>
          </w:rPr>
          <w:t>58</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19" w:history="1">
        <w:r w:rsidR="002F5B3F" w:rsidRPr="00EE349F">
          <w:rPr>
            <w:rStyle w:val="Kpr"/>
          </w:rPr>
          <w:t>Table 6.8: Dispersion of administrative fines in LPG Market in 2017 by the subject matter</w:t>
        </w:r>
        <w:r w:rsidR="002F5B3F">
          <w:rPr>
            <w:webHidden/>
          </w:rPr>
          <w:tab/>
        </w:r>
        <w:r w:rsidR="002F5B3F">
          <w:rPr>
            <w:webHidden/>
          </w:rPr>
          <w:fldChar w:fldCharType="begin"/>
        </w:r>
        <w:r w:rsidR="002F5B3F">
          <w:rPr>
            <w:webHidden/>
          </w:rPr>
          <w:instrText xml:space="preserve"> PAGEREF _Toc12958519 \h </w:instrText>
        </w:r>
        <w:r w:rsidR="002F5B3F">
          <w:rPr>
            <w:webHidden/>
          </w:rPr>
        </w:r>
        <w:r w:rsidR="002F5B3F">
          <w:rPr>
            <w:webHidden/>
          </w:rPr>
          <w:fldChar w:fldCharType="separate"/>
        </w:r>
        <w:r w:rsidR="002F5B3F">
          <w:rPr>
            <w:webHidden/>
          </w:rPr>
          <w:t>58</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0" w:history="1">
        <w:r w:rsidR="002F5B3F" w:rsidRPr="00EE349F">
          <w:rPr>
            <w:rStyle w:val="Kpr"/>
          </w:rPr>
          <w:t>Figure 7.1: Distribution of Board Decisions Regarding the Issues Within the Areas of Task of the Expropriation Department in 2018</w:t>
        </w:r>
        <w:r w:rsidR="002F5B3F">
          <w:rPr>
            <w:webHidden/>
          </w:rPr>
          <w:tab/>
        </w:r>
        <w:r w:rsidR="002F5B3F">
          <w:rPr>
            <w:webHidden/>
          </w:rPr>
          <w:fldChar w:fldCharType="begin"/>
        </w:r>
        <w:r w:rsidR="002F5B3F">
          <w:rPr>
            <w:webHidden/>
          </w:rPr>
          <w:instrText xml:space="preserve"> PAGEREF _Toc12958520 \h </w:instrText>
        </w:r>
        <w:r w:rsidR="002F5B3F">
          <w:rPr>
            <w:webHidden/>
          </w:rPr>
        </w:r>
        <w:r w:rsidR="002F5B3F">
          <w:rPr>
            <w:webHidden/>
          </w:rPr>
          <w:fldChar w:fldCharType="separate"/>
        </w:r>
        <w:r w:rsidR="002F5B3F">
          <w:rPr>
            <w:webHidden/>
          </w:rPr>
          <w:t>60</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1" w:history="1">
        <w:r w:rsidR="002F5B3F" w:rsidRPr="00EE349F">
          <w:rPr>
            <w:rStyle w:val="Kpr"/>
          </w:rPr>
          <w:t>Table 8.1: Total number of cases of which EMRA is a party as of the end of 2018 by sectors</w:t>
        </w:r>
        <w:r w:rsidR="002F5B3F">
          <w:rPr>
            <w:webHidden/>
          </w:rPr>
          <w:tab/>
        </w:r>
        <w:r w:rsidR="002F5B3F">
          <w:rPr>
            <w:webHidden/>
          </w:rPr>
          <w:fldChar w:fldCharType="begin"/>
        </w:r>
        <w:r w:rsidR="002F5B3F">
          <w:rPr>
            <w:webHidden/>
          </w:rPr>
          <w:instrText xml:space="preserve"> PAGEREF _Toc12958521 \h </w:instrText>
        </w:r>
        <w:r w:rsidR="002F5B3F">
          <w:rPr>
            <w:webHidden/>
          </w:rPr>
        </w:r>
        <w:r w:rsidR="002F5B3F">
          <w:rPr>
            <w:webHidden/>
          </w:rPr>
          <w:fldChar w:fldCharType="separate"/>
        </w:r>
        <w:r w:rsidR="002F5B3F">
          <w:rPr>
            <w:webHidden/>
          </w:rPr>
          <w:t>61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2" w:history="1">
        <w:r w:rsidR="002F5B3F" w:rsidRPr="00EE349F">
          <w:rPr>
            <w:rStyle w:val="Kpr"/>
          </w:rPr>
          <w:t>Table 8.2: Dispersion of cases of which EMRA is a party as of the end of 2018 by sectors</w:t>
        </w:r>
        <w:r w:rsidR="002F5B3F">
          <w:rPr>
            <w:webHidden/>
          </w:rPr>
          <w:tab/>
        </w:r>
        <w:r w:rsidR="002F5B3F">
          <w:rPr>
            <w:webHidden/>
          </w:rPr>
          <w:fldChar w:fldCharType="begin"/>
        </w:r>
        <w:r w:rsidR="002F5B3F">
          <w:rPr>
            <w:webHidden/>
          </w:rPr>
          <w:instrText xml:space="preserve"> PAGEREF _Toc12958522 \h </w:instrText>
        </w:r>
        <w:r w:rsidR="002F5B3F">
          <w:rPr>
            <w:webHidden/>
          </w:rPr>
        </w:r>
        <w:r w:rsidR="002F5B3F">
          <w:rPr>
            <w:webHidden/>
          </w:rPr>
          <w:fldChar w:fldCharType="separate"/>
        </w:r>
        <w:r w:rsidR="002F5B3F">
          <w:rPr>
            <w:webHidden/>
          </w:rPr>
          <w:t>61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3" w:history="1">
        <w:r w:rsidR="002F5B3F" w:rsidRPr="00EE349F">
          <w:rPr>
            <w:rStyle w:val="Kpr"/>
          </w:rPr>
          <w:t>Table 8.3: Dispersion of the cases of which EMRA is a party in 2018</w:t>
        </w:r>
        <w:r w:rsidR="002F5B3F">
          <w:rPr>
            <w:webHidden/>
          </w:rPr>
          <w:tab/>
        </w:r>
        <w:r w:rsidR="002F5B3F">
          <w:rPr>
            <w:webHidden/>
          </w:rPr>
          <w:fldChar w:fldCharType="begin"/>
        </w:r>
        <w:r w:rsidR="002F5B3F">
          <w:rPr>
            <w:webHidden/>
          </w:rPr>
          <w:instrText xml:space="preserve"> PAGEREF _Toc12958523 \h </w:instrText>
        </w:r>
        <w:r w:rsidR="002F5B3F">
          <w:rPr>
            <w:webHidden/>
          </w:rPr>
        </w:r>
        <w:r w:rsidR="002F5B3F">
          <w:rPr>
            <w:webHidden/>
          </w:rPr>
          <w:fldChar w:fldCharType="separate"/>
        </w:r>
        <w:r w:rsidR="002F5B3F">
          <w:rPr>
            <w:webHidden/>
          </w:rPr>
          <w:t>61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4" w:history="1">
        <w:r w:rsidR="002F5B3F" w:rsidRPr="00EE349F">
          <w:rPr>
            <w:rStyle w:val="Kpr"/>
          </w:rPr>
          <w:t>Figure 8.1: Dispersion of cases of which EMRA is a party by years</w:t>
        </w:r>
        <w:r w:rsidR="002F5B3F">
          <w:rPr>
            <w:webHidden/>
          </w:rPr>
          <w:tab/>
        </w:r>
        <w:r w:rsidR="002F5B3F">
          <w:rPr>
            <w:webHidden/>
          </w:rPr>
          <w:fldChar w:fldCharType="begin"/>
        </w:r>
        <w:r w:rsidR="002F5B3F">
          <w:rPr>
            <w:webHidden/>
          </w:rPr>
          <w:instrText xml:space="preserve"> PAGEREF _Toc12958524 \h </w:instrText>
        </w:r>
        <w:r w:rsidR="002F5B3F">
          <w:rPr>
            <w:webHidden/>
          </w:rPr>
        </w:r>
        <w:r w:rsidR="002F5B3F">
          <w:rPr>
            <w:webHidden/>
          </w:rPr>
          <w:fldChar w:fldCharType="separate"/>
        </w:r>
        <w:r w:rsidR="002F5B3F">
          <w:rPr>
            <w:webHidden/>
          </w:rPr>
          <w:t>62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5" w:history="1">
        <w:r w:rsidR="002F5B3F" w:rsidRPr="00EE349F">
          <w:rPr>
            <w:rStyle w:val="Kpr"/>
          </w:rPr>
          <w:t>Table 8.4: Status of the cases litigated by EMRA as of the end of 2018</w:t>
        </w:r>
        <w:r w:rsidR="002F5B3F">
          <w:rPr>
            <w:webHidden/>
          </w:rPr>
          <w:tab/>
        </w:r>
        <w:r w:rsidR="002F5B3F">
          <w:rPr>
            <w:webHidden/>
          </w:rPr>
          <w:fldChar w:fldCharType="begin"/>
        </w:r>
        <w:r w:rsidR="002F5B3F">
          <w:rPr>
            <w:webHidden/>
          </w:rPr>
          <w:instrText xml:space="preserve"> PAGEREF _Toc12958525 \h </w:instrText>
        </w:r>
        <w:r w:rsidR="002F5B3F">
          <w:rPr>
            <w:webHidden/>
          </w:rPr>
        </w:r>
        <w:r w:rsidR="002F5B3F">
          <w:rPr>
            <w:webHidden/>
          </w:rPr>
          <w:fldChar w:fldCharType="separate"/>
        </w:r>
        <w:r w:rsidR="002F5B3F">
          <w:rPr>
            <w:webHidden/>
          </w:rPr>
          <w:t>62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6" w:history="1">
        <w:r w:rsidR="002F5B3F" w:rsidRPr="00EE349F">
          <w:rPr>
            <w:rStyle w:val="Kpr"/>
          </w:rPr>
          <w:t>Table 8.5: The resolutions</w:t>
        </w:r>
        <w:r w:rsidR="002F5B3F">
          <w:rPr>
            <w:webHidden/>
          </w:rPr>
          <w:tab/>
        </w:r>
        <w:r w:rsidR="002F5B3F">
          <w:rPr>
            <w:webHidden/>
          </w:rPr>
          <w:fldChar w:fldCharType="begin"/>
        </w:r>
        <w:r w:rsidR="002F5B3F">
          <w:rPr>
            <w:webHidden/>
          </w:rPr>
          <w:instrText xml:space="preserve"> PAGEREF _Toc12958526 \h </w:instrText>
        </w:r>
        <w:r w:rsidR="002F5B3F">
          <w:rPr>
            <w:webHidden/>
          </w:rPr>
        </w:r>
        <w:r w:rsidR="002F5B3F">
          <w:rPr>
            <w:webHidden/>
          </w:rPr>
          <w:fldChar w:fldCharType="separate"/>
        </w:r>
        <w:r w:rsidR="002F5B3F">
          <w:rPr>
            <w:webHidden/>
          </w:rPr>
          <w:t>63</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7" w:history="1">
        <w:r w:rsidR="002F5B3F" w:rsidRPr="00EE349F">
          <w:rPr>
            <w:rStyle w:val="Kpr"/>
          </w:rPr>
          <w:t>Table 8.6: The resolutions</w:t>
        </w:r>
        <w:r w:rsidR="002F5B3F">
          <w:rPr>
            <w:webHidden/>
          </w:rPr>
          <w:tab/>
        </w:r>
        <w:r w:rsidR="002F5B3F">
          <w:rPr>
            <w:webHidden/>
          </w:rPr>
          <w:fldChar w:fldCharType="begin"/>
        </w:r>
        <w:r w:rsidR="002F5B3F">
          <w:rPr>
            <w:webHidden/>
          </w:rPr>
          <w:instrText xml:space="preserve"> PAGEREF _Toc12958527 \h </w:instrText>
        </w:r>
        <w:r w:rsidR="002F5B3F">
          <w:rPr>
            <w:webHidden/>
          </w:rPr>
        </w:r>
        <w:r w:rsidR="002F5B3F">
          <w:rPr>
            <w:webHidden/>
          </w:rPr>
          <w:fldChar w:fldCharType="separate"/>
        </w:r>
        <w:r w:rsidR="002F5B3F">
          <w:rPr>
            <w:webHidden/>
          </w:rPr>
          <w:t>63</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8" w:history="1">
        <w:r w:rsidR="002F5B3F" w:rsidRPr="00EE349F">
          <w:rPr>
            <w:rStyle w:val="Kpr"/>
          </w:rPr>
          <w:t>Figure 8.2: Distribution of the Cases in which EMRA is a Party by the End of the Year in Terms of Results</w:t>
        </w:r>
        <w:r w:rsidR="002F5B3F">
          <w:rPr>
            <w:webHidden/>
          </w:rPr>
          <w:tab/>
        </w:r>
        <w:r w:rsidR="002F5B3F">
          <w:rPr>
            <w:webHidden/>
          </w:rPr>
          <w:fldChar w:fldCharType="begin"/>
        </w:r>
        <w:r w:rsidR="002F5B3F">
          <w:rPr>
            <w:webHidden/>
          </w:rPr>
          <w:instrText xml:space="preserve"> PAGEREF _Toc12958528 \h </w:instrText>
        </w:r>
        <w:r w:rsidR="002F5B3F">
          <w:rPr>
            <w:webHidden/>
          </w:rPr>
        </w:r>
        <w:r w:rsidR="002F5B3F">
          <w:rPr>
            <w:webHidden/>
          </w:rPr>
          <w:fldChar w:fldCharType="separate"/>
        </w:r>
        <w:r w:rsidR="002F5B3F">
          <w:rPr>
            <w:webHidden/>
          </w:rPr>
          <w:t>63</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29" w:history="1">
        <w:r w:rsidR="002F5B3F" w:rsidRPr="00EE349F">
          <w:rPr>
            <w:rStyle w:val="Kpr"/>
          </w:rPr>
          <w:t>Table 8.7: Dispersion of opinions given in 2018</w:t>
        </w:r>
        <w:r w:rsidR="002F5B3F">
          <w:rPr>
            <w:webHidden/>
          </w:rPr>
          <w:tab/>
        </w:r>
        <w:r w:rsidR="002F5B3F">
          <w:rPr>
            <w:webHidden/>
          </w:rPr>
          <w:fldChar w:fldCharType="begin"/>
        </w:r>
        <w:r w:rsidR="002F5B3F">
          <w:rPr>
            <w:webHidden/>
          </w:rPr>
          <w:instrText xml:space="preserve"> PAGEREF _Toc12958529 \h </w:instrText>
        </w:r>
        <w:r w:rsidR="002F5B3F">
          <w:rPr>
            <w:webHidden/>
          </w:rPr>
        </w:r>
        <w:r w:rsidR="002F5B3F">
          <w:rPr>
            <w:webHidden/>
          </w:rPr>
          <w:fldChar w:fldCharType="separate"/>
        </w:r>
        <w:r w:rsidR="002F5B3F">
          <w:rPr>
            <w:webHidden/>
          </w:rPr>
          <w:t>64</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0" w:history="1">
        <w:r w:rsidR="002F5B3F" w:rsidRPr="00EE349F">
          <w:rPr>
            <w:rStyle w:val="Kpr"/>
          </w:rPr>
          <w:t>Table 8.8: Dispersion of opinions given by years</w:t>
        </w:r>
        <w:r w:rsidR="002F5B3F">
          <w:rPr>
            <w:webHidden/>
          </w:rPr>
          <w:tab/>
        </w:r>
        <w:r w:rsidR="002F5B3F">
          <w:rPr>
            <w:webHidden/>
          </w:rPr>
          <w:fldChar w:fldCharType="begin"/>
        </w:r>
        <w:r w:rsidR="002F5B3F">
          <w:rPr>
            <w:webHidden/>
          </w:rPr>
          <w:instrText xml:space="preserve"> PAGEREF _Toc12958530 \h </w:instrText>
        </w:r>
        <w:r w:rsidR="002F5B3F">
          <w:rPr>
            <w:webHidden/>
          </w:rPr>
        </w:r>
        <w:r w:rsidR="002F5B3F">
          <w:rPr>
            <w:webHidden/>
          </w:rPr>
          <w:fldChar w:fldCharType="separate"/>
        </w:r>
        <w:r w:rsidR="002F5B3F">
          <w:rPr>
            <w:webHidden/>
          </w:rPr>
          <w:t>64</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1" w:history="1">
        <w:r w:rsidR="002F5B3F" w:rsidRPr="00EE349F">
          <w:rPr>
            <w:rStyle w:val="Kpr"/>
          </w:rPr>
          <w:t>Figure 8.3: Distribution of Views by the Legal Department by Years</w:t>
        </w:r>
        <w:r w:rsidR="002F5B3F">
          <w:rPr>
            <w:webHidden/>
          </w:rPr>
          <w:tab/>
        </w:r>
        <w:r w:rsidR="002F5B3F">
          <w:rPr>
            <w:webHidden/>
          </w:rPr>
          <w:fldChar w:fldCharType="begin"/>
        </w:r>
        <w:r w:rsidR="002F5B3F">
          <w:rPr>
            <w:webHidden/>
          </w:rPr>
          <w:instrText xml:space="preserve"> PAGEREF _Toc12958531 \h </w:instrText>
        </w:r>
        <w:r w:rsidR="002F5B3F">
          <w:rPr>
            <w:webHidden/>
          </w:rPr>
        </w:r>
        <w:r w:rsidR="002F5B3F">
          <w:rPr>
            <w:webHidden/>
          </w:rPr>
          <w:fldChar w:fldCharType="separate"/>
        </w:r>
        <w:r w:rsidR="002F5B3F">
          <w:rPr>
            <w:webHidden/>
          </w:rPr>
          <w:t>65</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2" w:history="1">
        <w:r w:rsidR="002F5B3F" w:rsidRPr="00EE349F">
          <w:rPr>
            <w:rStyle w:val="Kpr"/>
          </w:rPr>
          <w:t>Figure 9.1: Percentage distribution of notifications processed under the complaint heading by months</w:t>
        </w:r>
        <w:r w:rsidR="002F5B3F">
          <w:rPr>
            <w:webHidden/>
          </w:rPr>
          <w:tab/>
        </w:r>
        <w:r w:rsidR="002F5B3F">
          <w:rPr>
            <w:webHidden/>
          </w:rPr>
          <w:fldChar w:fldCharType="begin"/>
        </w:r>
        <w:r w:rsidR="002F5B3F">
          <w:rPr>
            <w:webHidden/>
          </w:rPr>
          <w:instrText xml:space="preserve"> PAGEREF _Toc12958532 \h </w:instrText>
        </w:r>
        <w:r w:rsidR="002F5B3F">
          <w:rPr>
            <w:webHidden/>
          </w:rPr>
        </w:r>
        <w:r w:rsidR="002F5B3F">
          <w:rPr>
            <w:webHidden/>
          </w:rPr>
          <w:fldChar w:fldCharType="separate"/>
        </w:r>
        <w:r w:rsidR="002F5B3F">
          <w:rPr>
            <w:webHidden/>
          </w:rPr>
          <w:t>67</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3" w:history="1">
        <w:r w:rsidR="002F5B3F" w:rsidRPr="00EE349F">
          <w:rPr>
            <w:rStyle w:val="Kpr"/>
          </w:rPr>
          <w:t>Figure 9.2: Percentage Distribution of Complaint Notifications by Complaint Channels</w:t>
        </w:r>
        <w:r w:rsidR="002F5B3F">
          <w:rPr>
            <w:webHidden/>
          </w:rPr>
          <w:tab/>
        </w:r>
        <w:r w:rsidR="002F5B3F">
          <w:rPr>
            <w:webHidden/>
          </w:rPr>
          <w:fldChar w:fldCharType="begin"/>
        </w:r>
        <w:r w:rsidR="002F5B3F">
          <w:rPr>
            <w:webHidden/>
          </w:rPr>
          <w:instrText xml:space="preserve"> PAGEREF _Toc12958533 \h </w:instrText>
        </w:r>
        <w:r w:rsidR="002F5B3F">
          <w:rPr>
            <w:webHidden/>
          </w:rPr>
        </w:r>
        <w:r w:rsidR="002F5B3F">
          <w:rPr>
            <w:webHidden/>
          </w:rPr>
          <w:fldChar w:fldCharType="separate"/>
        </w:r>
        <w:r w:rsidR="002F5B3F">
          <w:rPr>
            <w:webHidden/>
          </w:rPr>
          <w:t>68</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4" w:history="1">
        <w:r w:rsidR="002F5B3F" w:rsidRPr="00EE349F">
          <w:rPr>
            <w:rStyle w:val="Kpr"/>
          </w:rPr>
          <w:t>Figure 9.3: Sectoral Breakdown of Complaints Received</w:t>
        </w:r>
        <w:r w:rsidR="002F5B3F">
          <w:rPr>
            <w:webHidden/>
          </w:rPr>
          <w:tab/>
        </w:r>
        <w:r w:rsidR="002F5B3F">
          <w:rPr>
            <w:webHidden/>
          </w:rPr>
          <w:fldChar w:fldCharType="begin"/>
        </w:r>
        <w:r w:rsidR="002F5B3F">
          <w:rPr>
            <w:webHidden/>
          </w:rPr>
          <w:instrText xml:space="preserve"> PAGEREF _Toc12958534 \h </w:instrText>
        </w:r>
        <w:r w:rsidR="002F5B3F">
          <w:rPr>
            <w:webHidden/>
          </w:rPr>
        </w:r>
        <w:r w:rsidR="002F5B3F">
          <w:rPr>
            <w:webHidden/>
          </w:rPr>
          <w:fldChar w:fldCharType="separate"/>
        </w:r>
        <w:r w:rsidR="002F5B3F">
          <w:rPr>
            <w:webHidden/>
          </w:rPr>
          <w:t>69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5" w:history="1">
        <w:r w:rsidR="002F5B3F" w:rsidRPr="00EE349F">
          <w:rPr>
            <w:rStyle w:val="Kpr"/>
          </w:rPr>
          <w:t>Figure 9.4: Breakdown of Complainst Forwarded to Relevant Adresses</w:t>
        </w:r>
        <w:r w:rsidR="002F5B3F">
          <w:rPr>
            <w:webHidden/>
          </w:rPr>
          <w:tab/>
        </w:r>
        <w:r w:rsidR="002F5B3F">
          <w:rPr>
            <w:webHidden/>
          </w:rPr>
          <w:fldChar w:fldCharType="begin"/>
        </w:r>
        <w:r w:rsidR="002F5B3F">
          <w:rPr>
            <w:webHidden/>
          </w:rPr>
          <w:instrText xml:space="preserve"> PAGEREF _Toc12958535 \h </w:instrText>
        </w:r>
        <w:r w:rsidR="002F5B3F">
          <w:rPr>
            <w:webHidden/>
          </w:rPr>
        </w:r>
        <w:r w:rsidR="002F5B3F">
          <w:rPr>
            <w:webHidden/>
          </w:rPr>
          <w:fldChar w:fldCharType="separate"/>
        </w:r>
        <w:r w:rsidR="002F5B3F">
          <w:rPr>
            <w:webHidden/>
          </w:rPr>
          <w:t>70</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6" w:history="1">
        <w:r w:rsidR="002F5B3F" w:rsidRPr="00EE349F">
          <w:rPr>
            <w:rStyle w:val="Kpr"/>
          </w:rPr>
          <w:t>Figure 9.5: Percentage Distribution of Breakdown of Electricity Complaints</w:t>
        </w:r>
        <w:r w:rsidR="002F5B3F">
          <w:rPr>
            <w:webHidden/>
          </w:rPr>
          <w:tab/>
        </w:r>
        <w:r w:rsidR="002F5B3F">
          <w:rPr>
            <w:webHidden/>
          </w:rPr>
          <w:fldChar w:fldCharType="begin"/>
        </w:r>
        <w:r w:rsidR="002F5B3F">
          <w:rPr>
            <w:webHidden/>
          </w:rPr>
          <w:instrText xml:space="preserve"> PAGEREF _Toc12958536 \h </w:instrText>
        </w:r>
        <w:r w:rsidR="002F5B3F">
          <w:rPr>
            <w:webHidden/>
          </w:rPr>
        </w:r>
        <w:r w:rsidR="002F5B3F">
          <w:rPr>
            <w:webHidden/>
          </w:rPr>
          <w:fldChar w:fldCharType="separate"/>
        </w:r>
        <w:r w:rsidR="002F5B3F">
          <w:rPr>
            <w:webHidden/>
          </w:rPr>
          <w:t>71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7" w:history="1">
        <w:r w:rsidR="002F5B3F" w:rsidRPr="00EE349F">
          <w:rPr>
            <w:rStyle w:val="Kpr"/>
          </w:rPr>
          <w:t>Figure 9.6: Monthly Breakdown of Electricity Complaints</w:t>
        </w:r>
        <w:r w:rsidR="002F5B3F">
          <w:rPr>
            <w:webHidden/>
          </w:rPr>
          <w:tab/>
        </w:r>
        <w:r w:rsidR="002F5B3F">
          <w:rPr>
            <w:webHidden/>
          </w:rPr>
          <w:fldChar w:fldCharType="begin"/>
        </w:r>
        <w:r w:rsidR="002F5B3F">
          <w:rPr>
            <w:webHidden/>
          </w:rPr>
          <w:instrText xml:space="preserve"> PAGEREF _Toc12958537 \h </w:instrText>
        </w:r>
        <w:r w:rsidR="002F5B3F">
          <w:rPr>
            <w:webHidden/>
          </w:rPr>
        </w:r>
        <w:r w:rsidR="002F5B3F">
          <w:rPr>
            <w:webHidden/>
          </w:rPr>
          <w:fldChar w:fldCharType="separate"/>
        </w:r>
        <w:r w:rsidR="002F5B3F">
          <w:rPr>
            <w:webHidden/>
          </w:rPr>
          <w:t>71</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8" w:history="1">
        <w:r w:rsidR="002F5B3F" w:rsidRPr="00EE349F">
          <w:rPr>
            <w:rStyle w:val="Kpr"/>
          </w:rPr>
          <w:t>Figure 9.7: Percentage Distribution of Sub-classification of Complaints and Realizations in Natural Gas Sector</w:t>
        </w:r>
        <w:r w:rsidR="002F5B3F">
          <w:rPr>
            <w:webHidden/>
          </w:rPr>
          <w:tab/>
        </w:r>
        <w:r w:rsidR="002F5B3F">
          <w:rPr>
            <w:webHidden/>
          </w:rPr>
          <w:fldChar w:fldCharType="begin"/>
        </w:r>
        <w:r w:rsidR="002F5B3F">
          <w:rPr>
            <w:webHidden/>
          </w:rPr>
          <w:instrText xml:space="preserve"> PAGEREF _Toc12958538 \h </w:instrText>
        </w:r>
        <w:r w:rsidR="002F5B3F">
          <w:rPr>
            <w:webHidden/>
          </w:rPr>
        </w:r>
        <w:r w:rsidR="002F5B3F">
          <w:rPr>
            <w:webHidden/>
          </w:rPr>
          <w:fldChar w:fldCharType="separate"/>
        </w:r>
        <w:r w:rsidR="002F5B3F">
          <w:rPr>
            <w:webHidden/>
          </w:rPr>
          <w:t>72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39" w:history="1">
        <w:r w:rsidR="002F5B3F" w:rsidRPr="00EE349F">
          <w:rPr>
            <w:rStyle w:val="Kpr"/>
          </w:rPr>
          <w:t>Figure 9.8: Percentage Distribution of Noticifications in the Natural Gas Sector by Months(%)</w:t>
        </w:r>
        <w:r w:rsidR="002F5B3F">
          <w:rPr>
            <w:webHidden/>
          </w:rPr>
          <w:tab/>
        </w:r>
        <w:r w:rsidR="002F5B3F">
          <w:rPr>
            <w:webHidden/>
          </w:rPr>
          <w:fldChar w:fldCharType="begin"/>
        </w:r>
        <w:r w:rsidR="002F5B3F">
          <w:rPr>
            <w:webHidden/>
          </w:rPr>
          <w:instrText xml:space="preserve"> PAGEREF _Toc12958539 \h </w:instrText>
        </w:r>
        <w:r w:rsidR="002F5B3F">
          <w:rPr>
            <w:webHidden/>
          </w:rPr>
        </w:r>
        <w:r w:rsidR="002F5B3F">
          <w:rPr>
            <w:webHidden/>
          </w:rPr>
          <w:fldChar w:fldCharType="separate"/>
        </w:r>
        <w:r w:rsidR="002F5B3F">
          <w:rPr>
            <w:webHidden/>
          </w:rPr>
          <w:t>73</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0" w:history="1">
        <w:r w:rsidR="002F5B3F" w:rsidRPr="00EE349F">
          <w:rPr>
            <w:rStyle w:val="Kpr"/>
          </w:rPr>
          <w:t>Table 11.1: Parliamentary Questions Received in 2018 by subject</w:t>
        </w:r>
        <w:r w:rsidR="002F5B3F">
          <w:rPr>
            <w:webHidden/>
          </w:rPr>
          <w:tab/>
        </w:r>
        <w:r w:rsidR="002F5B3F">
          <w:rPr>
            <w:webHidden/>
          </w:rPr>
          <w:fldChar w:fldCharType="begin"/>
        </w:r>
        <w:r w:rsidR="002F5B3F">
          <w:rPr>
            <w:webHidden/>
          </w:rPr>
          <w:instrText xml:space="preserve"> PAGEREF _Toc12958540 \h </w:instrText>
        </w:r>
        <w:r w:rsidR="002F5B3F">
          <w:rPr>
            <w:webHidden/>
          </w:rPr>
        </w:r>
        <w:r w:rsidR="002F5B3F">
          <w:rPr>
            <w:webHidden/>
          </w:rPr>
          <w:fldChar w:fldCharType="separate"/>
        </w:r>
        <w:r w:rsidR="002F5B3F">
          <w:rPr>
            <w:webHidden/>
          </w:rPr>
          <w:t>74</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1" w:history="1">
        <w:r w:rsidR="002F5B3F" w:rsidRPr="00EE349F">
          <w:rPr>
            <w:rStyle w:val="Kpr"/>
          </w:rPr>
          <w:t>Figure 11.1: Percentage Distribution of Question Proposals in 2018 by Subject</w:t>
        </w:r>
        <w:r w:rsidR="002F5B3F">
          <w:rPr>
            <w:webHidden/>
          </w:rPr>
          <w:tab/>
        </w:r>
        <w:r w:rsidR="002F5B3F">
          <w:rPr>
            <w:webHidden/>
          </w:rPr>
          <w:fldChar w:fldCharType="begin"/>
        </w:r>
        <w:r w:rsidR="002F5B3F">
          <w:rPr>
            <w:webHidden/>
          </w:rPr>
          <w:instrText xml:space="preserve"> PAGEREF _Toc12958541 \h </w:instrText>
        </w:r>
        <w:r w:rsidR="002F5B3F">
          <w:rPr>
            <w:webHidden/>
          </w:rPr>
        </w:r>
        <w:r w:rsidR="002F5B3F">
          <w:rPr>
            <w:webHidden/>
          </w:rPr>
          <w:fldChar w:fldCharType="separate"/>
        </w:r>
        <w:r w:rsidR="002F5B3F">
          <w:rPr>
            <w:webHidden/>
          </w:rPr>
          <w:t>75</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2" w:history="1">
        <w:r w:rsidR="002F5B3F" w:rsidRPr="00EE349F">
          <w:rPr>
            <w:rStyle w:val="Kpr"/>
          </w:rPr>
          <w:t>Table 13.1: Information on staff assignned in 2018</w:t>
        </w:r>
        <w:r w:rsidR="002F5B3F">
          <w:rPr>
            <w:webHidden/>
          </w:rPr>
          <w:tab/>
        </w:r>
        <w:r w:rsidR="002F5B3F">
          <w:rPr>
            <w:webHidden/>
          </w:rPr>
          <w:fldChar w:fldCharType="begin"/>
        </w:r>
        <w:r w:rsidR="002F5B3F">
          <w:rPr>
            <w:webHidden/>
          </w:rPr>
          <w:instrText xml:space="preserve"> PAGEREF _Toc12958542 \h </w:instrText>
        </w:r>
        <w:r w:rsidR="002F5B3F">
          <w:rPr>
            <w:webHidden/>
          </w:rPr>
        </w:r>
        <w:r w:rsidR="002F5B3F">
          <w:rPr>
            <w:webHidden/>
          </w:rPr>
          <w:fldChar w:fldCharType="separate"/>
        </w:r>
        <w:r w:rsidR="002F5B3F">
          <w:rPr>
            <w:webHidden/>
          </w:rPr>
          <w:t>79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3" w:history="1">
        <w:r w:rsidR="002F5B3F" w:rsidRPr="00EE349F">
          <w:rPr>
            <w:rStyle w:val="Kpr"/>
          </w:rPr>
          <w:t>Table 13.2: Information on the staff who left the Authority in 2018</w:t>
        </w:r>
        <w:r w:rsidR="002F5B3F">
          <w:rPr>
            <w:webHidden/>
          </w:rPr>
          <w:tab/>
        </w:r>
        <w:r w:rsidR="002F5B3F">
          <w:rPr>
            <w:webHidden/>
          </w:rPr>
          <w:fldChar w:fldCharType="begin"/>
        </w:r>
        <w:r w:rsidR="002F5B3F">
          <w:rPr>
            <w:webHidden/>
          </w:rPr>
          <w:instrText xml:space="preserve"> PAGEREF _Toc12958543 \h </w:instrText>
        </w:r>
        <w:r w:rsidR="002F5B3F">
          <w:rPr>
            <w:webHidden/>
          </w:rPr>
        </w:r>
        <w:r w:rsidR="002F5B3F">
          <w:rPr>
            <w:webHidden/>
          </w:rPr>
          <w:fldChar w:fldCharType="separate"/>
        </w:r>
        <w:r w:rsidR="002F5B3F">
          <w:rPr>
            <w:webHidden/>
          </w:rPr>
          <w:t>79</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4" w:history="1">
        <w:r w:rsidR="002F5B3F" w:rsidRPr="00EE349F">
          <w:rPr>
            <w:rStyle w:val="Kpr"/>
          </w:rPr>
          <w:t>Table 13.3: Breakdown of Cadres</w:t>
        </w:r>
        <w:r w:rsidR="002F5B3F">
          <w:rPr>
            <w:webHidden/>
          </w:rPr>
          <w:tab/>
        </w:r>
        <w:r w:rsidR="002F5B3F">
          <w:rPr>
            <w:webHidden/>
          </w:rPr>
          <w:fldChar w:fldCharType="begin"/>
        </w:r>
        <w:r w:rsidR="002F5B3F">
          <w:rPr>
            <w:webHidden/>
          </w:rPr>
          <w:instrText xml:space="preserve"> PAGEREF _Toc12958544 \h </w:instrText>
        </w:r>
        <w:r w:rsidR="002F5B3F">
          <w:rPr>
            <w:webHidden/>
          </w:rPr>
        </w:r>
        <w:r w:rsidR="002F5B3F">
          <w:rPr>
            <w:webHidden/>
          </w:rPr>
          <w:fldChar w:fldCharType="separate"/>
        </w:r>
        <w:r w:rsidR="002F5B3F">
          <w:rPr>
            <w:webHidden/>
          </w:rPr>
          <w:t>80</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5" w:history="1">
        <w:r w:rsidR="002F5B3F" w:rsidRPr="00EE349F">
          <w:rPr>
            <w:rStyle w:val="Kpr"/>
          </w:rPr>
          <w:t>Table 13.4: Number of Employees by years</w:t>
        </w:r>
        <w:r w:rsidR="002F5B3F">
          <w:rPr>
            <w:webHidden/>
          </w:rPr>
          <w:tab/>
        </w:r>
        <w:r w:rsidR="002F5B3F">
          <w:rPr>
            <w:webHidden/>
          </w:rPr>
          <w:fldChar w:fldCharType="begin"/>
        </w:r>
        <w:r w:rsidR="002F5B3F">
          <w:rPr>
            <w:webHidden/>
          </w:rPr>
          <w:instrText xml:space="preserve"> PAGEREF _Toc12958545 \h </w:instrText>
        </w:r>
        <w:r w:rsidR="002F5B3F">
          <w:rPr>
            <w:webHidden/>
          </w:rPr>
        </w:r>
        <w:r w:rsidR="002F5B3F">
          <w:rPr>
            <w:webHidden/>
          </w:rPr>
          <w:fldChar w:fldCharType="separate"/>
        </w:r>
        <w:r w:rsidR="002F5B3F">
          <w:rPr>
            <w:webHidden/>
          </w:rPr>
          <w:t>82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6" w:history="1">
        <w:r w:rsidR="002F5B3F" w:rsidRPr="00EE349F">
          <w:rPr>
            <w:rStyle w:val="Kpr"/>
          </w:rPr>
          <w:t>Table 13.5: Time and Budget spent for tarianing activities in 2018</w:t>
        </w:r>
        <w:r w:rsidR="002F5B3F">
          <w:rPr>
            <w:webHidden/>
          </w:rPr>
          <w:tab/>
        </w:r>
        <w:r w:rsidR="002F5B3F">
          <w:rPr>
            <w:webHidden/>
          </w:rPr>
          <w:fldChar w:fldCharType="begin"/>
        </w:r>
        <w:r w:rsidR="002F5B3F">
          <w:rPr>
            <w:webHidden/>
          </w:rPr>
          <w:instrText xml:space="preserve"> PAGEREF _Toc12958546 \h </w:instrText>
        </w:r>
        <w:r w:rsidR="002F5B3F">
          <w:rPr>
            <w:webHidden/>
          </w:rPr>
        </w:r>
        <w:r w:rsidR="002F5B3F">
          <w:rPr>
            <w:webHidden/>
          </w:rPr>
          <w:fldChar w:fldCharType="separate"/>
        </w:r>
        <w:r w:rsidR="002F5B3F">
          <w:rPr>
            <w:webHidden/>
          </w:rPr>
          <w:t>82</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7" w:history="1">
        <w:r w:rsidR="002F5B3F" w:rsidRPr="00EE349F">
          <w:rPr>
            <w:rStyle w:val="Kpr"/>
          </w:rPr>
          <w:t>Table 13.6: Oversees Trainings in 2018</w:t>
        </w:r>
        <w:r w:rsidR="002F5B3F">
          <w:rPr>
            <w:webHidden/>
          </w:rPr>
          <w:tab/>
        </w:r>
        <w:r w:rsidR="002F5B3F">
          <w:rPr>
            <w:webHidden/>
          </w:rPr>
          <w:fldChar w:fldCharType="begin"/>
        </w:r>
        <w:r w:rsidR="002F5B3F">
          <w:rPr>
            <w:webHidden/>
          </w:rPr>
          <w:instrText xml:space="preserve"> PAGEREF _Toc12958547 \h </w:instrText>
        </w:r>
        <w:r w:rsidR="002F5B3F">
          <w:rPr>
            <w:webHidden/>
          </w:rPr>
        </w:r>
        <w:r w:rsidR="002F5B3F">
          <w:rPr>
            <w:webHidden/>
          </w:rPr>
          <w:fldChar w:fldCharType="separate"/>
        </w:r>
        <w:r w:rsidR="002F5B3F">
          <w:rPr>
            <w:webHidden/>
          </w:rPr>
          <w:t>84</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8" w:history="1">
        <w:r w:rsidR="002F5B3F" w:rsidRPr="00EE349F">
          <w:rPr>
            <w:rStyle w:val="Kpr"/>
          </w:rPr>
          <w:t>Table 13.7: Foreign Language Trainings in 2017</w:t>
        </w:r>
        <w:r w:rsidR="002F5B3F">
          <w:rPr>
            <w:webHidden/>
          </w:rPr>
          <w:tab/>
        </w:r>
        <w:r w:rsidR="002F5B3F">
          <w:rPr>
            <w:webHidden/>
          </w:rPr>
          <w:fldChar w:fldCharType="begin"/>
        </w:r>
        <w:r w:rsidR="002F5B3F">
          <w:rPr>
            <w:webHidden/>
          </w:rPr>
          <w:instrText xml:space="preserve"> PAGEREF _Toc12958548 \h </w:instrText>
        </w:r>
        <w:r w:rsidR="002F5B3F">
          <w:rPr>
            <w:webHidden/>
          </w:rPr>
        </w:r>
        <w:r w:rsidR="002F5B3F">
          <w:rPr>
            <w:webHidden/>
          </w:rPr>
          <w:fldChar w:fldCharType="separate"/>
        </w:r>
        <w:r w:rsidR="002F5B3F">
          <w:rPr>
            <w:webHidden/>
          </w:rPr>
          <w:t>85</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49" w:history="1">
        <w:r w:rsidR="002F5B3F" w:rsidRPr="00EE349F">
          <w:rPr>
            <w:rStyle w:val="Kpr"/>
          </w:rPr>
          <w:t>Table 13.8: Information on the Interns in 2018</w:t>
        </w:r>
        <w:r w:rsidR="002F5B3F">
          <w:rPr>
            <w:webHidden/>
          </w:rPr>
          <w:tab/>
        </w:r>
        <w:r w:rsidR="002F5B3F">
          <w:rPr>
            <w:webHidden/>
          </w:rPr>
          <w:fldChar w:fldCharType="begin"/>
        </w:r>
        <w:r w:rsidR="002F5B3F">
          <w:rPr>
            <w:webHidden/>
          </w:rPr>
          <w:instrText xml:space="preserve"> PAGEREF _Toc12958549 \h </w:instrText>
        </w:r>
        <w:r w:rsidR="002F5B3F">
          <w:rPr>
            <w:webHidden/>
          </w:rPr>
        </w:r>
        <w:r w:rsidR="002F5B3F">
          <w:rPr>
            <w:webHidden/>
          </w:rPr>
          <w:fldChar w:fldCharType="separate"/>
        </w:r>
        <w:r w:rsidR="002F5B3F">
          <w:rPr>
            <w:webHidden/>
          </w:rPr>
          <w:t>86</w:t>
        </w:r>
        <w:r w:rsidR="002F5B3F">
          <w:rPr>
            <w:webHidden/>
          </w:rPr>
          <w:fldChar w:fldCharType="end"/>
        </w:r>
      </w:hyperlink>
    </w:p>
    <w:p w:rsidR="002F5B3F" w:rsidRDefault="008C28A7">
      <w:pPr>
        <w:pStyle w:val="ekillerTablosu"/>
        <w:tabs>
          <w:tab w:val="right" w:leader="dot" w:pos="9396"/>
        </w:tabs>
        <w:rPr>
          <w:rFonts w:eastAsiaTheme="minorEastAsia"/>
          <w:lang w:val="tr-TR" w:eastAsia="tr-TR"/>
        </w:rPr>
      </w:pPr>
      <w:hyperlink w:anchor="_Toc12958550" w:history="1">
        <w:r w:rsidR="002F5B3F" w:rsidRPr="00EE349F">
          <w:rPr>
            <w:rStyle w:val="Kpr"/>
          </w:rPr>
          <w:t>Table 14.1: Income Surplus Transferred to Ministry of Finance by years (TL)</w:t>
        </w:r>
        <w:r w:rsidR="002F5B3F">
          <w:rPr>
            <w:webHidden/>
          </w:rPr>
          <w:tab/>
        </w:r>
        <w:r w:rsidR="002F5B3F">
          <w:rPr>
            <w:webHidden/>
          </w:rPr>
          <w:fldChar w:fldCharType="begin"/>
        </w:r>
        <w:r w:rsidR="002F5B3F">
          <w:rPr>
            <w:webHidden/>
          </w:rPr>
          <w:instrText xml:space="preserve"> PAGEREF _Toc12958550 \h </w:instrText>
        </w:r>
        <w:r w:rsidR="002F5B3F">
          <w:rPr>
            <w:webHidden/>
          </w:rPr>
        </w:r>
        <w:r w:rsidR="002F5B3F">
          <w:rPr>
            <w:webHidden/>
          </w:rPr>
          <w:fldChar w:fldCharType="separate"/>
        </w:r>
        <w:r w:rsidR="002F5B3F">
          <w:rPr>
            <w:webHidden/>
          </w:rPr>
          <w:t>87</w:t>
        </w:r>
        <w:r w:rsidR="002F5B3F">
          <w:rPr>
            <w:webHidden/>
          </w:rPr>
          <w:fldChar w:fldCharType="end"/>
        </w:r>
      </w:hyperlink>
    </w:p>
    <w:p w:rsidR="00F4599F" w:rsidRPr="004A1BC6" w:rsidRDefault="0055522A" w:rsidP="00B5324E">
      <w:pPr>
        <w:tabs>
          <w:tab w:val="left" w:pos="8661"/>
        </w:tabs>
        <w:spacing w:line="240" w:lineRule="auto"/>
      </w:pPr>
      <w:r>
        <w:fldChar w:fldCharType="end"/>
      </w:r>
    </w:p>
    <w:p w:rsidR="00F4599F" w:rsidRPr="004A1BC6" w:rsidRDefault="00F4599F" w:rsidP="00B5324E">
      <w:pPr>
        <w:spacing w:line="240" w:lineRule="auto"/>
      </w:pPr>
      <w:r w:rsidRPr="004A1BC6">
        <w:br w:type="page"/>
      </w:r>
    </w:p>
    <w:p w:rsidR="00F4599F" w:rsidRPr="00267B5A" w:rsidRDefault="004A1BC6" w:rsidP="00B5324E">
      <w:pPr>
        <w:tabs>
          <w:tab w:val="left" w:pos="8661"/>
        </w:tabs>
        <w:spacing w:line="240" w:lineRule="auto"/>
        <w:rPr>
          <w:b/>
        </w:rPr>
      </w:pPr>
      <w:r w:rsidRPr="00267B5A">
        <w:rPr>
          <w:b/>
        </w:rPr>
        <w:t>ABBREVIATIONS</w:t>
      </w:r>
    </w:p>
    <w:p w:rsidR="004A1BC6" w:rsidRPr="004A1BC6" w:rsidRDefault="004A1BC6" w:rsidP="00B5324E">
      <w:pPr>
        <w:tabs>
          <w:tab w:val="left" w:pos="8661"/>
        </w:tabs>
        <w:spacing w:line="240" w:lineRule="auto"/>
      </w:pPr>
      <w:r w:rsidRPr="004A1BC6">
        <w:rPr>
          <w:b/>
        </w:rPr>
        <w:t xml:space="preserve">EU: </w:t>
      </w:r>
      <w:r w:rsidRPr="004A1BC6">
        <w:t>European Union</w:t>
      </w:r>
    </w:p>
    <w:p w:rsidR="004A1BC6" w:rsidRDefault="004A1BC6" w:rsidP="00B5324E">
      <w:pPr>
        <w:tabs>
          <w:tab w:val="left" w:pos="8661"/>
        </w:tabs>
        <w:spacing w:line="240" w:lineRule="auto"/>
      </w:pPr>
      <w:r w:rsidRPr="004A1BC6">
        <w:rPr>
          <w:b/>
        </w:rPr>
        <w:t>LV:</w:t>
      </w:r>
      <w:r>
        <w:t xml:space="preserve"> Low Voltage</w:t>
      </w:r>
    </w:p>
    <w:p w:rsidR="004A1BC6" w:rsidRDefault="004A1BC6" w:rsidP="00B5324E">
      <w:pPr>
        <w:tabs>
          <w:tab w:val="left" w:pos="8661"/>
        </w:tabs>
        <w:spacing w:line="240" w:lineRule="auto"/>
      </w:pPr>
      <w:r w:rsidRPr="004A1BC6">
        <w:rPr>
          <w:b/>
        </w:rPr>
        <w:t xml:space="preserve">Ministry/ MENR: </w:t>
      </w:r>
      <w:r>
        <w:t>Ministry of Energy and Naturel Resources</w:t>
      </w:r>
    </w:p>
    <w:p w:rsidR="004A1BC6" w:rsidRDefault="004A1BC6" w:rsidP="00B5324E">
      <w:pPr>
        <w:tabs>
          <w:tab w:val="left" w:pos="8661"/>
        </w:tabs>
        <w:spacing w:line="240" w:lineRule="auto"/>
      </w:pPr>
      <w:r w:rsidRPr="004A1BC6">
        <w:rPr>
          <w:b/>
        </w:rPr>
        <w:t xml:space="preserve">ISMS: </w:t>
      </w:r>
      <w:r>
        <w:t>Information Security Management System</w:t>
      </w:r>
    </w:p>
    <w:p w:rsidR="004A1BC6" w:rsidRDefault="004A1BC6" w:rsidP="00B5324E">
      <w:pPr>
        <w:tabs>
          <w:tab w:val="left" w:pos="8661"/>
        </w:tabs>
        <w:spacing w:line="240" w:lineRule="auto"/>
      </w:pPr>
      <w:r w:rsidRPr="004A1BC6">
        <w:rPr>
          <w:b/>
        </w:rPr>
        <w:t>BİMER:</w:t>
      </w:r>
      <w:r>
        <w:rPr>
          <w:b/>
        </w:rPr>
        <w:t xml:space="preserve"> </w:t>
      </w:r>
      <w:r>
        <w:t>Prime Ministry Communication Center</w:t>
      </w:r>
    </w:p>
    <w:p w:rsidR="004A1BC6" w:rsidRDefault="004A1BC6" w:rsidP="00B5324E">
      <w:pPr>
        <w:tabs>
          <w:tab w:val="left" w:pos="8661"/>
        </w:tabs>
        <w:spacing w:line="240" w:lineRule="auto"/>
      </w:pPr>
      <w:r w:rsidRPr="00267B5A">
        <w:rPr>
          <w:b/>
        </w:rPr>
        <w:t>BOTAŞ:</w:t>
      </w:r>
      <w:r>
        <w:t xml:space="preserve"> Turkish Petroleum Pipeline Company</w:t>
      </w:r>
    </w:p>
    <w:p w:rsidR="004A1BC6" w:rsidRDefault="004A1BC6" w:rsidP="00B5324E">
      <w:pPr>
        <w:tabs>
          <w:tab w:val="left" w:pos="8661"/>
        </w:tabs>
        <w:spacing w:line="240" w:lineRule="auto"/>
      </w:pPr>
      <w:r w:rsidRPr="00267B5A">
        <w:rPr>
          <w:b/>
        </w:rPr>
        <w:t>CİMER:</w:t>
      </w:r>
      <w:r>
        <w:t xml:space="preserve"> Presidency Communication Center </w:t>
      </w:r>
    </w:p>
    <w:p w:rsidR="004A1BC6" w:rsidRDefault="004A1BC6" w:rsidP="00B5324E">
      <w:pPr>
        <w:tabs>
          <w:tab w:val="left" w:pos="8661"/>
        </w:tabs>
        <w:spacing w:line="240" w:lineRule="auto"/>
      </w:pPr>
      <w:r w:rsidRPr="00267B5A">
        <w:rPr>
          <w:b/>
        </w:rPr>
        <w:t>CNG:</w:t>
      </w:r>
      <w:r>
        <w:t xml:space="preserve"> Compressed Natural Gas</w:t>
      </w:r>
    </w:p>
    <w:p w:rsidR="004A1BC6" w:rsidRDefault="004A1BC6" w:rsidP="00B5324E">
      <w:pPr>
        <w:tabs>
          <w:tab w:val="left" w:pos="8661"/>
        </w:tabs>
        <w:spacing w:line="240" w:lineRule="auto"/>
      </w:pPr>
      <w:r w:rsidRPr="00267B5A">
        <w:rPr>
          <w:b/>
        </w:rPr>
        <w:t>EBİS:</w:t>
      </w:r>
      <w:r>
        <w:t xml:space="preserve"> Electronic Notification System</w:t>
      </w:r>
    </w:p>
    <w:p w:rsidR="004A1BC6" w:rsidRDefault="004A1BC6" w:rsidP="00B5324E">
      <w:pPr>
        <w:tabs>
          <w:tab w:val="left" w:pos="8661"/>
        </w:tabs>
        <w:spacing w:line="240" w:lineRule="auto"/>
      </w:pPr>
      <w:r w:rsidRPr="00267B5A">
        <w:rPr>
          <w:b/>
        </w:rPr>
        <w:t>EBYS:</w:t>
      </w:r>
      <w:r>
        <w:t xml:space="preserve"> Electronic Document Management System</w:t>
      </w:r>
    </w:p>
    <w:p w:rsidR="004A1BC6" w:rsidRDefault="004A1BC6" w:rsidP="00B5324E">
      <w:pPr>
        <w:tabs>
          <w:tab w:val="left" w:pos="8661"/>
        </w:tabs>
        <w:spacing w:line="240" w:lineRule="auto"/>
      </w:pPr>
      <w:r w:rsidRPr="00267B5A">
        <w:rPr>
          <w:b/>
        </w:rPr>
        <w:t>EGE-PAL:</w:t>
      </w:r>
      <w:r>
        <w:t xml:space="preserve"> Ege University – Petroleum Exploration Laboratory</w:t>
      </w:r>
    </w:p>
    <w:p w:rsidR="004A1BC6" w:rsidRDefault="004A1BC6" w:rsidP="00B5324E">
      <w:pPr>
        <w:tabs>
          <w:tab w:val="left" w:pos="8661"/>
        </w:tabs>
        <w:spacing w:line="240" w:lineRule="auto"/>
      </w:pPr>
      <w:r w:rsidRPr="00267B5A">
        <w:rPr>
          <w:b/>
        </w:rPr>
        <w:t>ENTSO-E:</w:t>
      </w:r>
      <w:r>
        <w:t xml:space="preserve"> </w:t>
      </w:r>
      <w:r w:rsidR="009766C3">
        <w:t>European Network of Transmission System Operators</w:t>
      </w:r>
    </w:p>
    <w:p w:rsidR="009766C3" w:rsidRDefault="009766C3" w:rsidP="00B5324E">
      <w:pPr>
        <w:tabs>
          <w:tab w:val="left" w:pos="8661"/>
        </w:tabs>
        <w:spacing w:line="240" w:lineRule="auto"/>
      </w:pPr>
      <w:r w:rsidRPr="00267B5A">
        <w:rPr>
          <w:b/>
        </w:rPr>
        <w:t>EPARS:</w:t>
      </w:r>
      <w:r>
        <w:t xml:space="preserve"> Energy Market Analysis and Reporting System</w:t>
      </w:r>
    </w:p>
    <w:p w:rsidR="009766C3" w:rsidRDefault="009766C3" w:rsidP="00B5324E">
      <w:pPr>
        <w:tabs>
          <w:tab w:val="left" w:pos="8661"/>
        </w:tabs>
        <w:spacing w:line="240" w:lineRule="auto"/>
      </w:pPr>
      <w:r w:rsidRPr="00267B5A">
        <w:rPr>
          <w:b/>
        </w:rPr>
        <w:t>EXIST:</w:t>
      </w:r>
      <w:r>
        <w:t xml:space="preserve"> </w:t>
      </w:r>
      <w:r w:rsidR="00DF6330">
        <w:t>Turkish Energy Exchange</w:t>
      </w:r>
    </w:p>
    <w:p w:rsidR="00DF6330" w:rsidRDefault="00DF6330" w:rsidP="00B5324E">
      <w:pPr>
        <w:tabs>
          <w:tab w:val="left" w:pos="8661"/>
        </w:tabs>
        <w:spacing w:line="240" w:lineRule="auto"/>
      </w:pPr>
      <w:r w:rsidRPr="00267B5A">
        <w:rPr>
          <w:b/>
        </w:rPr>
        <w:t>EPVYS:</w:t>
      </w:r>
      <w:r>
        <w:t xml:space="preserve"> Energy Market Database Management System</w:t>
      </w:r>
    </w:p>
    <w:p w:rsidR="00DF6330" w:rsidRDefault="00DF6330" w:rsidP="00B5324E">
      <w:pPr>
        <w:tabs>
          <w:tab w:val="left" w:pos="8661"/>
        </w:tabs>
        <w:spacing w:line="240" w:lineRule="auto"/>
      </w:pPr>
      <w:r w:rsidRPr="00267B5A">
        <w:rPr>
          <w:b/>
        </w:rPr>
        <w:t>ERRA:</w:t>
      </w:r>
      <w:r>
        <w:t xml:space="preserve"> Energy Regulators Regional Association</w:t>
      </w:r>
    </w:p>
    <w:p w:rsidR="00DF6330" w:rsidRDefault="00DF6330" w:rsidP="00B5324E">
      <w:pPr>
        <w:tabs>
          <w:tab w:val="left" w:pos="8661"/>
        </w:tabs>
        <w:spacing w:line="240" w:lineRule="auto"/>
      </w:pPr>
      <w:r w:rsidRPr="00267B5A">
        <w:rPr>
          <w:b/>
        </w:rPr>
        <w:t>ICER:</w:t>
      </w:r>
      <w:r>
        <w:t xml:space="preserve"> International Confederation of Energy Regulators</w:t>
      </w:r>
    </w:p>
    <w:p w:rsidR="00DF6330" w:rsidRDefault="00DF6330" w:rsidP="00B5324E">
      <w:pPr>
        <w:tabs>
          <w:tab w:val="left" w:pos="8661"/>
        </w:tabs>
        <w:spacing w:line="240" w:lineRule="auto"/>
      </w:pPr>
      <w:r w:rsidRPr="00267B5A">
        <w:rPr>
          <w:b/>
        </w:rPr>
        <w:t>İNÖNÜ-PAL:</w:t>
      </w:r>
      <w:r>
        <w:t xml:space="preserve"> İnönü University – Petroleum Exploration Laboratory</w:t>
      </w:r>
    </w:p>
    <w:p w:rsidR="00DF6330" w:rsidRDefault="00DF6330" w:rsidP="00B5324E">
      <w:pPr>
        <w:tabs>
          <w:tab w:val="left" w:pos="8661"/>
        </w:tabs>
        <w:spacing w:line="240" w:lineRule="auto"/>
      </w:pPr>
      <w:r w:rsidRPr="00267B5A">
        <w:rPr>
          <w:b/>
        </w:rPr>
        <w:t>IPA:</w:t>
      </w:r>
      <w:r>
        <w:t xml:space="preserve"> EU-Turkey Financial Cooperation Instrument for Pre-Accession</w:t>
      </w:r>
    </w:p>
    <w:p w:rsidR="00DF6330" w:rsidRDefault="00DF6330" w:rsidP="00B5324E">
      <w:pPr>
        <w:tabs>
          <w:tab w:val="left" w:pos="8661"/>
        </w:tabs>
        <w:spacing w:line="240" w:lineRule="auto"/>
      </w:pPr>
      <w:r w:rsidRPr="00267B5A">
        <w:rPr>
          <w:b/>
        </w:rPr>
        <w:t>BSEC:</w:t>
      </w:r>
      <w:r>
        <w:t xml:space="preserve"> Black Sea Economic Cooperation</w:t>
      </w:r>
    </w:p>
    <w:p w:rsidR="00DF6330" w:rsidRDefault="00DF6330" w:rsidP="00B5324E">
      <w:pPr>
        <w:tabs>
          <w:tab w:val="left" w:pos="8661"/>
        </w:tabs>
        <w:spacing w:line="240" w:lineRule="auto"/>
      </w:pPr>
      <w:r w:rsidRPr="00267B5A">
        <w:rPr>
          <w:b/>
        </w:rPr>
        <w:t>KEP:</w:t>
      </w:r>
      <w:r>
        <w:t xml:space="preserve"> Registered Electronic Mail</w:t>
      </w:r>
    </w:p>
    <w:p w:rsidR="00DF6330" w:rsidRDefault="00DF6330" w:rsidP="00B5324E">
      <w:pPr>
        <w:tabs>
          <w:tab w:val="left" w:pos="8661"/>
        </w:tabs>
        <w:spacing w:line="240" w:lineRule="auto"/>
      </w:pPr>
      <w:r w:rsidRPr="00267B5A">
        <w:rPr>
          <w:b/>
        </w:rPr>
        <w:t>KTÜ-YUAM:</w:t>
      </w:r>
      <w:r>
        <w:t xml:space="preserve"> Black Sea Technical University- Fuel Implementations and Research Center</w:t>
      </w:r>
    </w:p>
    <w:p w:rsidR="00DF6330" w:rsidRDefault="00DF6330" w:rsidP="00B5324E">
      <w:pPr>
        <w:spacing w:line="240" w:lineRule="auto"/>
      </w:pPr>
      <w:r w:rsidRPr="00267B5A">
        <w:rPr>
          <w:b/>
        </w:rPr>
        <w:t>Board:</w:t>
      </w:r>
      <w:r>
        <w:t xml:space="preserve"> Energy Market Regulatory Board </w:t>
      </w:r>
    </w:p>
    <w:p w:rsidR="00DF6330" w:rsidRDefault="00DF6330" w:rsidP="00B5324E">
      <w:pPr>
        <w:spacing w:line="240" w:lineRule="auto"/>
      </w:pPr>
      <w:r w:rsidRPr="00267B5A">
        <w:rPr>
          <w:b/>
        </w:rPr>
        <w:t>Authority/EMRA:</w:t>
      </w:r>
      <w:r>
        <w:t xml:space="preserve"> Energy Market Regulatory Authority</w:t>
      </w:r>
    </w:p>
    <w:p w:rsidR="00DF6330" w:rsidRDefault="00DF6330" w:rsidP="00B5324E">
      <w:pPr>
        <w:spacing w:line="240" w:lineRule="auto"/>
      </w:pPr>
      <w:r w:rsidRPr="00267B5A">
        <w:rPr>
          <w:b/>
        </w:rPr>
        <w:t xml:space="preserve">LNG: </w:t>
      </w:r>
      <w:r>
        <w:t>Liquefied Natural Gas</w:t>
      </w:r>
    </w:p>
    <w:p w:rsidR="00DF6330" w:rsidRDefault="00DF6330" w:rsidP="00B5324E">
      <w:pPr>
        <w:spacing w:line="240" w:lineRule="auto"/>
      </w:pPr>
      <w:r w:rsidRPr="00267B5A">
        <w:rPr>
          <w:b/>
        </w:rPr>
        <w:t>LPG:</w:t>
      </w:r>
      <w:r>
        <w:t xml:space="preserve"> Liquefied Petroleum Gases</w:t>
      </w:r>
    </w:p>
    <w:p w:rsidR="00DF6330" w:rsidRDefault="00DF6330" w:rsidP="00B5324E">
      <w:pPr>
        <w:spacing w:line="240" w:lineRule="auto"/>
      </w:pPr>
      <w:r w:rsidRPr="00267B5A">
        <w:rPr>
          <w:b/>
        </w:rPr>
        <w:t>MEDREG:</w:t>
      </w:r>
      <w:r>
        <w:t xml:space="preserve"> Association for Mediterranean Energy Regulators</w:t>
      </w:r>
    </w:p>
    <w:p w:rsidR="003E5900" w:rsidRDefault="00DF6330" w:rsidP="00B5324E">
      <w:pPr>
        <w:spacing w:line="240" w:lineRule="auto"/>
      </w:pPr>
      <w:r w:rsidRPr="00267B5A">
        <w:rPr>
          <w:b/>
        </w:rPr>
        <w:t>OECD:</w:t>
      </w:r>
      <w:r>
        <w:t xml:space="preserve"> Organization for Economic Cooperation and Development</w:t>
      </w:r>
    </w:p>
    <w:p w:rsidR="003E5900" w:rsidRDefault="003E5900" w:rsidP="00B5324E">
      <w:pPr>
        <w:spacing w:line="240" w:lineRule="auto"/>
      </w:pPr>
      <w:r w:rsidRPr="00267B5A">
        <w:rPr>
          <w:b/>
        </w:rPr>
        <w:t>MV:</w:t>
      </w:r>
      <w:r>
        <w:t xml:space="preserve"> Medium Voltage</w:t>
      </w:r>
    </w:p>
    <w:p w:rsidR="003E5900" w:rsidRDefault="003E5900" w:rsidP="00B5324E">
      <w:pPr>
        <w:spacing w:line="240" w:lineRule="auto"/>
      </w:pPr>
      <w:r w:rsidRPr="00267B5A">
        <w:rPr>
          <w:b/>
        </w:rPr>
        <w:t>OIZ:</w:t>
      </w:r>
      <w:r>
        <w:t xml:space="preserve"> Organized Industrial Zone</w:t>
      </w:r>
    </w:p>
    <w:p w:rsidR="003E5900" w:rsidRDefault="003E5900" w:rsidP="00B5324E">
      <w:pPr>
        <w:spacing w:line="240" w:lineRule="auto"/>
      </w:pPr>
      <w:r w:rsidRPr="00267B5A">
        <w:rPr>
          <w:b/>
        </w:rPr>
        <w:t>CA:</w:t>
      </w:r>
      <w:r>
        <w:t xml:space="preserve"> Competition Authority </w:t>
      </w:r>
    </w:p>
    <w:p w:rsidR="003E5900" w:rsidRDefault="003E5900" w:rsidP="00B5324E">
      <w:pPr>
        <w:spacing w:line="240" w:lineRule="auto"/>
      </w:pPr>
      <w:r w:rsidRPr="00267B5A">
        <w:rPr>
          <w:b/>
        </w:rPr>
        <w:t>SOME:</w:t>
      </w:r>
      <w:r>
        <w:t xml:space="preserve"> Cyber Incidents Response Team</w:t>
      </w:r>
    </w:p>
    <w:p w:rsidR="00AC3ED1" w:rsidRDefault="003E5900" w:rsidP="00B5324E">
      <w:pPr>
        <w:spacing w:line="240" w:lineRule="auto"/>
      </w:pPr>
      <w:r w:rsidRPr="00267B5A">
        <w:rPr>
          <w:b/>
        </w:rPr>
        <w:t>TBMM:</w:t>
      </w:r>
      <w:r>
        <w:t xml:space="preserve"> Grand National </w:t>
      </w:r>
      <w:r w:rsidR="00AC3ED1">
        <w:t>Assembly</w:t>
      </w:r>
      <w:r>
        <w:t xml:space="preserve"> </w:t>
      </w:r>
      <w:r w:rsidR="00AC3ED1">
        <w:t>of Turkey</w:t>
      </w:r>
    </w:p>
    <w:p w:rsidR="00AC3ED1" w:rsidRDefault="00AC3ED1" w:rsidP="00B5324E">
      <w:pPr>
        <w:spacing w:line="240" w:lineRule="auto"/>
      </w:pPr>
      <w:r w:rsidRPr="00267B5A">
        <w:rPr>
          <w:b/>
        </w:rPr>
        <w:t>TEİAŞ:</w:t>
      </w:r>
      <w:r>
        <w:t xml:space="preserve"> Turkish Electricity Transmission Company</w:t>
      </w:r>
    </w:p>
    <w:p w:rsidR="00AC3ED1" w:rsidRDefault="00AC3ED1" w:rsidP="00B5324E">
      <w:pPr>
        <w:spacing w:line="240" w:lineRule="auto"/>
      </w:pPr>
      <w:r w:rsidRPr="00267B5A">
        <w:rPr>
          <w:b/>
        </w:rPr>
        <w:t>TETAŞ:</w:t>
      </w:r>
      <w:r>
        <w:t xml:space="preserve"> Turkish Electricity Trade and Contracting Company</w:t>
      </w:r>
    </w:p>
    <w:p w:rsidR="00AC3ED1" w:rsidRDefault="00AC3ED1" w:rsidP="00B5324E">
      <w:pPr>
        <w:spacing w:line="240" w:lineRule="auto"/>
      </w:pPr>
      <w:r w:rsidRPr="00267B5A">
        <w:rPr>
          <w:b/>
        </w:rPr>
        <w:t>TÜBİTAK:</w:t>
      </w:r>
      <w:r>
        <w:t xml:space="preserve"> Turkish Scientific and Technologic Research Council</w:t>
      </w:r>
    </w:p>
    <w:p w:rsidR="00AC3ED1" w:rsidRDefault="00AC3ED1" w:rsidP="00B5324E">
      <w:pPr>
        <w:spacing w:line="240" w:lineRule="auto"/>
      </w:pPr>
      <w:r w:rsidRPr="00267B5A">
        <w:rPr>
          <w:b/>
        </w:rPr>
        <w:t>TÜPRAŞ:</w:t>
      </w:r>
      <w:r>
        <w:t xml:space="preserve"> Turkish Petroleum Refineries Corporation</w:t>
      </w:r>
    </w:p>
    <w:p w:rsidR="00267B5A" w:rsidRDefault="00267B5A" w:rsidP="00B5324E">
      <w:pPr>
        <w:spacing w:line="240" w:lineRule="auto"/>
      </w:pPr>
      <w:r w:rsidRPr="00267B5A">
        <w:rPr>
          <w:b/>
        </w:rPr>
        <w:t>IEA:</w:t>
      </w:r>
      <w:r>
        <w:t xml:space="preserve"> International Energy Agency</w:t>
      </w:r>
    </w:p>
    <w:p w:rsidR="00267B5A" w:rsidRDefault="00267B5A" w:rsidP="00B5324E">
      <w:pPr>
        <w:spacing w:line="240" w:lineRule="auto"/>
      </w:pPr>
      <w:r w:rsidRPr="00267B5A">
        <w:rPr>
          <w:b/>
        </w:rPr>
        <w:t>UGETAM:</w:t>
      </w:r>
      <w:r>
        <w:t xml:space="preserve"> </w:t>
      </w:r>
      <w:r w:rsidRPr="00267B5A">
        <w:t>İstanbul Applied Gas and Energy Technologies Research Engineering Industry Trade Inc.</w:t>
      </w:r>
    </w:p>
    <w:p w:rsidR="00CC4256" w:rsidRDefault="00267B5A" w:rsidP="00B5324E">
      <w:pPr>
        <w:spacing w:line="240" w:lineRule="auto"/>
      </w:pPr>
      <w:r w:rsidRPr="00267B5A">
        <w:rPr>
          <w:b/>
        </w:rPr>
        <w:t>NM:</w:t>
      </w:r>
      <w:r>
        <w:t xml:space="preserve"> National Marker</w:t>
      </w:r>
    </w:p>
    <w:p w:rsidR="00CC4256" w:rsidRPr="00D4182C" w:rsidRDefault="00CC4256" w:rsidP="00B5324E">
      <w:pPr>
        <w:spacing w:line="240" w:lineRule="auto"/>
      </w:pPr>
      <w:r w:rsidRPr="00CC4256">
        <w:rPr>
          <w:b/>
        </w:rPr>
        <w:t>KHK</w:t>
      </w:r>
      <w:r w:rsidRPr="00D4182C">
        <w:rPr>
          <w:b/>
        </w:rPr>
        <w:t>:</w:t>
      </w:r>
      <w:r w:rsidRPr="00D4182C">
        <w:t xml:space="preserve"> Decree Law (DL)</w:t>
      </w:r>
    </w:p>
    <w:p w:rsidR="00D4182C" w:rsidRPr="00D4182C" w:rsidRDefault="00CC4256" w:rsidP="00B5324E">
      <w:pPr>
        <w:spacing w:line="240" w:lineRule="auto"/>
      </w:pPr>
      <w:r w:rsidRPr="00D4182C">
        <w:rPr>
          <w:b/>
        </w:rPr>
        <w:t xml:space="preserve">md.: </w:t>
      </w:r>
      <w:r w:rsidRPr="00D4182C">
        <w:t>Article (Art)</w:t>
      </w:r>
    </w:p>
    <w:p w:rsidR="00D4182C" w:rsidRDefault="00302EAB" w:rsidP="00B5324E">
      <w:pPr>
        <w:spacing w:after="200" w:line="240" w:lineRule="auto"/>
        <w:jc w:val="both"/>
        <w:rPr>
          <w:rFonts w:cs="Times New Roman"/>
        </w:rPr>
      </w:pPr>
      <w:r>
        <w:rPr>
          <w:rFonts w:cs="Times New Roman"/>
          <w:b/>
        </w:rPr>
        <w:t>YEKDEM</w:t>
      </w:r>
      <w:r w:rsidR="00D4182C">
        <w:rPr>
          <w:rFonts w:cs="Times New Roman"/>
          <w:b/>
        </w:rPr>
        <w:t xml:space="preserve">: </w:t>
      </w:r>
      <w:r w:rsidR="00693DD8">
        <w:rPr>
          <w:rFonts w:cs="Times New Roman"/>
        </w:rPr>
        <w:t>RESSUM, Renewable Energy Sources Support Mechanism</w:t>
      </w:r>
    </w:p>
    <w:p w:rsidR="00D36DB4" w:rsidRDefault="00D36DB4" w:rsidP="00B5324E">
      <w:pPr>
        <w:spacing w:after="200" w:line="240" w:lineRule="auto"/>
        <w:jc w:val="both"/>
        <w:rPr>
          <w:rFonts w:cs="Times New Roman"/>
        </w:rPr>
      </w:pPr>
      <w:r w:rsidRPr="00D36DB4">
        <w:rPr>
          <w:rFonts w:cs="Times New Roman"/>
          <w:b/>
        </w:rPr>
        <w:t>KYK:</w:t>
      </w:r>
      <w:r>
        <w:rPr>
          <w:rFonts w:cs="Times New Roman"/>
        </w:rPr>
        <w:t xml:space="preserve"> Decision of Public İnterest </w:t>
      </w:r>
    </w:p>
    <w:p w:rsidR="00D36DB4" w:rsidRDefault="00D36DB4" w:rsidP="00B5324E">
      <w:pPr>
        <w:spacing w:after="200" w:line="240" w:lineRule="auto"/>
        <w:jc w:val="both"/>
        <w:rPr>
          <w:rFonts w:cs="Times New Roman"/>
        </w:rPr>
      </w:pPr>
      <w:r w:rsidRPr="00D36DB4">
        <w:rPr>
          <w:rFonts w:cs="Times New Roman"/>
          <w:b/>
        </w:rPr>
        <w:t>MH:</w:t>
      </w:r>
      <w:r>
        <w:rPr>
          <w:rFonts w:cs="Times New Roman"/>
        </w:rPr>
        <w:t xml:space="preserve"> Treasure of the Finance</w:t>
      </w:r>
    </w:p>
    <w:p w:rsidR="00D36DB4" w:rsidRDefault="00D36DB4" w:rsidP="00B5324E">
      <w:pPr>
        <w:spacing w:after="200" w:line="240" w:lineRule="auto"/>
        <w:jc w:val="both"/>
        <w:rPr>
          <w:rFonts w:cs="Times New Roman"/>
        </w:rPr>
      </w:pPr>
      <w:r w:rsidRPr="00D36DB4">
        <w:rPr>
          <w:rFonts w:cs="Times New Roman"/>
          <w:b/>
        </w:rPr>
        <w:t>DHTA:</w:t>
      </w:r>
      <w:r>
        <w:rPr>
          <w:rFonts w:cs="Times New Roman"/>
        </w:rPr>
        <w:t xml:space="preserve"> Immovable</w:t>
      </w:r>
      <w:r w:rsidR="0047751E">
        <w:rPr>
          <w:rFonts w:cs="Times New Roman"/>
        </w:rPr>
        <w:t>s</w:t>
      </w:r>
      <w:r>
        <w:rPr>
          <w:rFonts w:cs="Times New Roman"/>
        </w:rPr>
        <w:t xml:space="preserve"> under the </w:t>
      </w:r>
      <w:r w:rsidR="00732B48">
        <w:rPr>
          <w:rFonts w:cs="Times New Roman"/>
        </w:rPr>
        <w:t>Property of the S</w:t>
      </w:r>
      <w:r w:rsidR="0047751E">
        <w:rPr>
          <w:rFonts w:cs="Times New Roman"/>
        </w:rPr>
        <w:t>tate</w:t>
      </w:r>
      <w:r>
        <w:rPr>
          <w:rFonts w:cs="Times New Roman"/>
        </w:rPr>
        <w:t xml:space="preserve"> (IPDS) </w:t>
      </w:r>
    </w:p>
    <w:p w:rsidR="00C5010E" w:rsidRDefault="00C5010E" w:rsidP="00B5324E">
      <w:pPr>
        <w:spacing w:after="200" w:line="240" w:lineRule="auto"/>
        <w:jc w:val="both"/>
        <w:rPr>
          <w:rFonts w:cs="Times New Roman"/>
        </w:rPr>
      </w:pPr>
      <w:r w:rsidRPr="00C5010E">
        <w:rPr>
          <w:rFonts w:cs="Times New Roman"/>
          <w:b/>
        </w:rPr>
        <w:t xml:space="preserve">KKP: </w:t>
      </w:r>
      <w:r>
        <w:rPr>
          <w:rFonts w:cs="Times New Roman"/>
        </w:rPr>
        <w:t xml:space="preserve">Enterprise Resource Planning </w:t>
      </w:r>
    </w:p>
    <w:p w:rsidR="009C06D5" w:rsidRPr="00732B48" w:rsidRDefault="009C06D5" w:rsidP="00B5324E">
      <w:pPr>
        <w:spacing w:after="200" w:line="240" w:lineRule="auto"/>
        <w:jc w:val="both"/>
        <w:rPr>
          <w:rFonts w:cs="Times New Roman"/>
        </w:rPr>
      </w:pPr>
      <w:r w:rsidRPr="00732B48">
        <w:rPr>
          <w:rFonts w:cs="Times New Roman"/>
          <w:b/>
        </w:rPr>
        <w:t>BGYS</w:t>
      </w:r>
      <w:r w:rsidR="00732B48" w:rsidRPr="00732B48">
        <w:rPr>
          <w:rFonts w:cs="Times New Roman"/>
          <w:b/>
        </w:rPr>
        <w:t xml:space="preserve">: </w:t>
      </w:r>
      <w:r w:rsidR="00732B48" w:rsidRPr="00732B48">
        <w:rPr>
          <w:rFonts w:cs="Times New Roman"/>
        </w:rPr>
        <w:t>Information Security Management System</w:t>
      </w:r>
    </w:p>
    <w:p w:rsidR="0047751E" w:rsidRPr="00D4182C" w:rsidRDefault="0047751E" w:rsidP="00B5324E">
      <w:pPr>
        <w:spacing w:after="200" w:line="240" w:lineRule="auto"/>
        <w:jc w:val="both"/>
        <w:rPr>
          <w:rFonts w:cs="Times New Roman"/>
        </w:rPr>
      </w:pPr>
    </w:p>
    <w:p w:rsidR="00417758" w:rsidRDefault="00DF6330" w:rsidP="00B5324E">
      <w:pPr>
        <w:spacing w:line="240" w:lineRule="auto"/>
        <w:sectPr w:rsidR="00417758" w:rsidSect="00417758">
          <w:footerReference w:type="default" r:id="rId9"/>
          <w:footerReference w:type="first" r:id="rId10"/>
          <w:pgSz w:w="12240" w:h="15840"/>
          <w:pgMar w:top="1417" w:right="1417" w:bottom="1417" w:left="1417" w:header="708" w:footer="708" w:gutter="0"/>
          <w:pgNumType w:fmt="lowerRoman" w:start="0"/>
          <w:cols w:space="708"/>
          <w:titlePg/>
          <w:docGrid w:linePitch="360"/>
        </w:sectPr>
      </w:pPr>
      <w:r w:rsidRPr="00CC4256">
        <w:br w:type="page"/>
      </w:r>
    </w:p>
    <w:p w:rsidR="00DF6330" w:rsidRPr="00CC4256" w:rsidRDefault="00DF6330" w:rsidP="00B5324E">
      <w:pPr>
        <w:spacing w:line="240" w:lineRule="auto"/>
        <w:rPr>
          <w:b/>
        </w:rPr>
      </w:pPr>
    </w:p>
    <w:p w:rsidR="00791AB0" w:rsidRPr="004530BB" w:rsidRDefault="00791AB0" w:rsidP="00E37E90">
      <w:pPr>
        <w:pStyle w:val="Balk1"/>
        <w:numPr>
          <w:ilvl w:val="0"/>
          <w:numId w:val="37"/>
        </w:numPr>
        <w:rPr>
          <w:rStyle w:val="KitapBal"/>
          <w:b/>
          <w:bCs w:val="0"/>
          <w:smallCaps w:val="0"/>
          <w:spacing w:val="0"/>
        </w:rPr>
      </w:pPr>
      <w:bookmarkStart w:id="4" w:name="_Toc12956287"/>
      <w:r w:rsidRPr="004530BB">
        <w:rPr>
          <w:rStyle w:val="KitapBal"/>
          <w:b/>
          <w:bCs w:val="0"/>
          <w:smallCaps w:val="0"/>
          <w:spacing w:val="0"/>
        </w:rPr>
        <w:t>ENERGY MARKET REGULATORY AUTHORITY</w:t>
      </w:r>
      <w:bookmarkEnd w:id="4"/>
    </w:p>
    <w:p w:rsidR="003E531B" w:rsidRDefault="003E531B" w:rsidP="00B5324E">
      <w:pPr>
        <w:tabs>
          <w:tab w:val="left" w:pos="8661"/>
        </w:tabs>
        <w:spacing w:line="240" w:lineRule="auto"/>
        <w:ind w:left="360"/>
      </w:pPr>
      <w:r w:rsidRPr="003E531B">
        <w:t>Information about the duties, powers and responsibilities of the Authority and the structure of the Authority are included.</w:t>
      </w:r>
    </w:p>
    <w:p w:rsidR="003E531B" w:rsidRPr="003E531B" w:rsidRDefault="003E531B" w:rsidP="00E37E90">
      <w:pPr>
        <w:pStyle w:val="Balk2"/>
        <w:numPr>
          <w:ilvl w:val="1"/>
          <w:numId w:val="34"/>
        </w:numPr>
      </w:pPr>
      <w:bookmarkStart w:id="5" w:name="_Toc12956288"/>
      <w:r w:rsidRPr="004530BB">
        <w:t>Duties, Authorities and Responsibilities of the Authority</w:t>
      </w:r>
      <w:bookmarkEnd w:id="5"/>
    </w:p>
    <w:p w:rsidR="00ED016D" w:rsidRDefault="003E531B" w:rsidP="00B5324E">
      <w:pPr>
        <w:tabs>
          <w:tab w:val="left" w:pos="8661"/>
        </w:tabs>
        <w:spacing w:line="240" w:lineRule="auto"/>
        <w:ind w:left="360"/>
      </w:pPr>
      <w:r>
        <w:t>The Energy Market Regulatory Authority (The Authority) was founded as the “Electricity Market Regulatory Authority” with the annulled Electricity Market Law numbered 4628 and published in at the Official Gazette</w:t>
      </w:r>
      <w:r w:rsidR="00ED016D">
        <w:t xml:space="preserve"> dated 03.03.2001 and b</w:t>
      </w:r>
      <w:r>
        <w:t xml:space="preserve">is numbered 24335 and numbered as </w:t>
      </w:r>
      <w:r w:rsidR="00ED016D">
        <w:t xml:space="preserve">the “Energy Market Regulatory Authority” with the Law Amending the Electricity Market Law and the Natural Gas Market Law numbered 4646 and published in at the Official Gazette dated 02.05.2009 and numbered 24390. </w:t>
      </w:r>
    </w:p>
    <w:p w:rsidR="00ED016D" w:rsidRDefault="00ED016D" w:rsidP="00B5324E">
      <w:pPr>
        <w:tabs>
          <w:tab w:val="left" w:pos="8661"/>
        </w:tabs>
        <w:spacing w:line="240" w:lineRule="auto"/>
        <w:ind w:left="360"/>
      </w:pPr>
      <w:r>
        <w:t xml:space="preserve">The name of the law numbered 4628 was amended with the 30th article of Electricity Market Law numbered 6446, published on the Official Gazette dated 30/03/2013 and numbered 28603, as the “Law on the Organization and Duties of the Energy Market Regulatory Authority.” </w:t>
      </w:r>
    </w:p>
    <w:p w:rsidR="00ED016D" w:rsidRDefault="00ED016D" w:rsidP="00B5324E">
      <w:pPr>
        <w:tabs>
          <w:tab w:val="left" w:pos="8661"/>
        </w:tabs>
        <w:spacing w:line="240" w:lineRule="auto"/>
        <w:ind w:left="360"/>
      </w:pPr>
      <w:r>
        <w:t xml:space="preserve">The Authority is a public entity with administrative and financial autonomy. The ministry it is related with is The Ministry of Energy and Natural Resources (MENR). </w:t>
      </w:r>
    </w:p>
    <w:p w:rsidR="00ED016D" w:rsidRDefault="00ED016D" w:rsidP="00B5324E">
      <w:pPr>
        <w:tabs>
          <w:tab w:val="left" w:pos="8661"/>
        </w:tabs>
        <w:spacing w:line="240" w:lineRule="auto"/>
        <w:ind w:left="360"/>
      </w:pPr>
      <w:r>
        <w:t>The Authority has no provincial branches and is centered in Ankara. However, the Authority is entitled to establish liaison offices with an aim to sustain customer relations. In this respect there is a lia</w:t>
      </w:r>
      <w:r w:rsidR="00791AB0">
        <w:t>i</w:t>
      </w:r>
      <w:r>
        <w:t>s</w:t>
      </w:r>
      <w:r w:rsidR="00791AB0">
        <w:t>o</w:t>
      </w:r>
      <w:r>
        <w:t>n office in İstanbul.</w:t>
      </w:r>
    </w:p>
    <w:p w:rsidR="00ED016D" w:rsidRDefault="00ED016D" w:rsidP="00B5324E">
      <w:pPr>
        <w:tabs>
          <w:tab w:val="left" w:pos="8661"/>
        </w:tabs>
        <w:spacing w:line="240" w:lineRule="auto"/>
        <w:ind w:left="360"/>
      </w:pPr>
      <w:r>
        <w:t>The Authority is performing the duties and using the powers it has been entrusted by the;</w:t>
      </w:r>
    </w:p>
    <w:p w:rsidR="00ED016D" w:rsidRDefault="00ED016D" w:rsidP="00B5324E">
      <w:pPr>
        <w:tabs>
          <w:tab w:val="left" w:pos="8661"/>
        </w:tabs>
        <w:spacing w:line="240" w:lineRule="auto"/>
        <w:ind w:left="360"/>
      </w:pPr>
      <w:r>
        <w:t>- Electricity Market Law No: 4628</w:t>
      </w:r>
    </w:p>
    <w:p w:rsidR="00ED016D" w:rsidRDefault="00ED016D" w:rsidP="00B5324E">
      <w:pPr>
        <w:tabs>
          <w:tab w:val="left" w:pos="8661"/>
        </w:tabs>
        <w:spacing w:line="240" w:lineRule="auto"/>
        <w:ind w:left="360"/>
      </w:pPr>
      <w:r>
        <w:t>- Natural Gas Market Law No: 4646</w:t>
      </w:r>
    </w:p>
    <w:p w:rsidR="003E531B" w:rsidRDefault="00ED016D" w:rsidP="00B5324E">
      <w:pPr>
        <w:tabs>
          <w:tab w:val="left" w:pos="8661"/>
        </w:tabs>
        <w:spacing w:line="240" w:lineRule="auto"/>
        <w:ind w:left="360"/>
      </w:pPr>
      <w:r>
        <w:t>- Petroleum Market Law No: 5015</w:t>
      </w:r>
    </w:p>
    <w:p w:rsidR="00ED016D" w:rsidRDefault="00ED016D" w:rsidP="00B5324E">
      <w:pPr>
        <w:tabs>
          <w:tab w:val="left" w:pos="8661"/>
        </w:tabs>
        <w:spacing w:line="240" w:lineRule="auto"/>
        <w:ind w:left="360"/>
      </w:pPr>
      <w:r>
        <w:t xml:space="preserve">- </w:t>
      </w:r>
      <w:r w:rsidRPr="00ED016D">
        <w:t>Liquefied Petroleum Gases (LPG) Market Law No: 5307 and Law Amending the Electricity Market Law</w:t>
      </w:r>
    </w:p>
    <w:p w:rsidR="00715284" w:rsidRDefault="00715284" w:rsidP="00B5324E">
      <w:pPr>
        <w:tabs>
          <w:tab w:val="left" w:pos="8661"/>
        </w:tabs>
        <w:spacing w:line="240" w:lineRule="auto"/>
        <w:ind w:left="360"/>
      </w:pPr>
      <w:r>
        <w:t>- Electricity Market Law No: 6446</w:t>
      </w:r>
    </w:p>
    <w:p w:rsidR="00715284" w:rsidRDefault="00715284" w:rsidP="00B5324E">
      <w:pPr>
        <w:tabs>
          <w:tab w:val="left" w:pos="8661"/>
        </w:tabs>
        <w:spacing w:line="240" w:lineRule="auto"/>
        <w:ind w:left="360"/>
      </w:pPr>
      <w:r>
        <w:t>The objective of the aforementioned Laws is to establish a financially viable</w:t>
      </w:r>
      <w:r w:rsidR="00293E52">
        <w:t xml:space="preserve">, stable and transparent energy </w:t>
      </w:r>
      <w:r>
        <w:t>market, which functions as per the provisions of private law and with</w:t>
      </w:r>
      <w:r w:rsidR="00293E52">
        <w:t xml:space="preserve">in a competitive environment to </w:t>
      </w:r>
      <w:r>
        <w:t xml:space="preserve">ensure the independent regulation and supervision of the market in order to </w:t>
      </w:r>
      <w:r w:rsidR="00293E52">
        <w:t xml:space="preserve">provide sufficient electricity, </w:t>
      </w:r>
      <w:r>
        <w:t>natural gas, petroleum and LPG of good quality to consumers, at low cost</w:t>
      </w:r>
      <w:r w:rsidR="00293E52">
        <w:t xml:space="preserve">, in a reliable and environment </w:t>
      </w:r>
      <w:r>
        <w:t>friendly manner.</w:t>
      </w:r>
    </w:p>
    <w:p w:rsidR="00715284" w:rsidRDefault="00715284" w:rsidP="00B5324E">
      <w:pPr>
        <w:tabs>
          <w:tab w:val="left" w:pos="8661"/>
        </w:tabs>
        <w:spacing w:line="240" w:lineRule="auto"/>
        <w:ind w:left="360"/>
      </w:pPr>
      <w:r>
        <w:t>In order to reach this objective the Authority is responsible and entitled to;</w:t>
      </w:r>
    </w:p>
    <w:p w:rsidR="00715284" w:rsidRDefault="00715284" w:rsidP="00B5324E">
      <w:pPr>
        <w:tabs>
          <w:tab w:val="left" w:pos="8661"/>
        </w:tabs>
        <w:spacing w:line="240" w:lineRule="auto"/>
        <w:ind w:left="360"/>
      </w:pPr>
      <w:r>
        <w:t>• In the Electricity Market; Grant and renew licenses defining the righ</w:t>
      </w:r>
      <w:r w:rsidR="00293E52">
        <w:t xml:space="preserve">ts and liabilities of the legal </w:t>
      </w:r>
      <w:r>
        <w:t>persons pertaining to their authorized activities; prepare the existing contracts within the scope of</w:t>
      </w:r>
      <w:r w:rsidR="00293E52">
        <w:t xml:space="preserve"> </w:t>
      </w:r>
      <w:r>
        <w:t>the transfer of operational rights as per the Law no:4628; establish perf</w:t>
      </w:r>
      <w:r w:rsidR="00293E52">
        <w:t xml:space="preserve">ormance standards by monitoring </w:t>
      </w:r>
      <w:r>
        <w:t>the market performances; prepare, improve and execute the s</w:t>
      </w:r>
      <w:r w:rsidR="00293E52">
        <w:t xml:space="preserve">econdary legislation, audit the </w:t>
      </w:r>
      <w:r>
        <w:t>license holding legal persons, prepare, modify and execute regulated</w:t>
      </w:r>
      <w:r w:rsidR="00293E52">
        <w:t xml:space="preserve"> tariffs and to ensure that the </w:t>
      </w:r>
      <w:r>
        <w:t>market activities are in compliance with the Electricity Market Law.</w:t>
      </w:r>
    </w:p>
    <w:p w:rsidR="00715284" w:rsidRDefault="00715284" w:rsidP="00B5324E">
      <w:pPr>
        <w:tabs>
          <w:tab w:val="left" w:pos="8661"/>
        </w:tabs>
        <w:spacing w:line="240" w:lineRule="auto"/>
        <w:ind w:left="360"/>
      </w:pPr>
      <w:r>
        <w:t>• In the Natural Gas Market; Grant licenses and certificates defining th</w:t>
      </w:r>
      <w:r w:rsidR="00293E52">
        <w:t xml:space="preserve">e rights and liabilities of the </w:t>
      </w:r>
      <w:r>
        <w:t>real and legal persons dealing with the import, transportation, d</w:t>
      </w:r>
      <w:r w:rsidR="00293E52">
        <w:t xml:space="preserve">istribution, storage, trade and </w:t>
      </w:r>
      <w:r>
        <w:t xml:space="preserve">export of natural gas; examine the market and system operation; </w:t>
      </w:r>
      <w:r w:rsidR="00293E52">
        <w:t>prepare, amend, execute, super</w:t>
      </w:r>
      <w:r>
        <w:t xml:space="preserve">vise the distribution and customer services regulations; examine the </w:t>
      </w:r>
      <w:r w:rsidR="00293E52">
        <w:t xml:space="preserve">cost-reflective prices; prepare, </w:t>
      </w:r>
      <w:r>
        <w:t>modify and execute the regulated tariffs and to ensure that the mark</w:t>
      </w:r>
      <w:r w:rsidR="00293E52">
        <w:t xml:space="preserve">et activities are in compliance </w:t>
      </w:r>
      <w:r>
        <w:t>with the Natural Gas Market Law.</w:t>
      </w:r>
    </w:p>
    <w:p w:rsidR="00715284" w:rsidRDefault="00715284" w:rsidP="00B5324E">
      <w:pPr>
        <w:tabs>
          <w:tab w:val="left" w:pos="8661"/>
        </w:tabs>
        <w:spacing w:line="240" w:lineRule="auto"/>
        <w:ind w:left="360"/>
      </w:pPr>
      <w:r>
        <w:t>• In the Petroleum Market; Grant licenses for establishing and oper</w:t>
      </w:r>
      <w:r w:rsidR="00293E52">
        <w:t xml:space="preserve">ating the facilities to perform </w:t>
      </w:r>
      <w:r>
        <w:t>refining, processing, lube oil production, storage, transportatio</w:t>
      </w:r>
      <w:r w:rsidR="00293E52">
        <w:t xml:space="preserve">n, eligible consumer and bunker </w:t>
      </w:r>
      <w:r>
        <w:t>activities, distribution and transport of liquid fuel and vendor activities; d</w:t>
      </w:r>
      <w:r w:rsidR="00293E52">
        <w:t xml:space="preserve">etermine the special conditions </w:t>
      </w:r>
      <w:r>
        <w:t>for the scope of the licensed activities and procedures, right</w:t>
      </w:r>
      <w:r w:rsidR="00293E52">
        <w:t xml:space="preserve">s and liabilities stemming from </w:t>
      </w:r>
      <w:r>
        <w:t xml:space="preserve">the licenses, limiting the activities within the scope of the licenses, </w:t>
      </w:r>
      <w:r w:rsidR="00293E52">
        <w:t xml:space="preserve">carrying out the activities and </w:t>
      </w:r>
      <w:r>
        <w:t>make the necessary arrangements,</w:t>
      </w:r>
    </w:p>
    <w:p w:rsidR="00ED016D" w:rsidRDefault="00D51F1D" w:rsidP="00B5324E">
      <w:pPr>
        <w:tabs>
          <w:tab w:val="left" w:pos="8661"/>
        </w:tabs>
        <w:spacing w:line="240" w:lineRule="auto"/>
        <w:ind w:left="360"/>
      </w:pPr>
      <w:r>
        <w:t xml:space="preserve">• In the LPG </w:t>
      </w:r>
      <w:r w:rsidR="00715284">
        <w:t>Market; Grant, update,</w:t>
      </w:r>
      <w:r w:rsidR="00293E52">
        <w:t xml:space="preserve"> temporarily stop or cancel the </w:t>
      </w:r>
      <w:r w:rsidR="00715284">
        <w:t>licenses for establishing and operating the facilities for the purpo</w:t>
      </w:r>
      <w:r w:rsidR="00293E52">
        <w:t xml:space="preserve">ses of distribution, transport, </w:t>
      </w:r>
      <w:r w:rsidR="00715284">
        <w:t>vendor activities, storage, production of LPG tubes, filling and mai</w:t>
      </w:r>
      <w:r w:rsidR="00293E52">
        <w:t xml:space="preserve">ntenance; determine the special </w:t>
      </w:r>
      <w:r w:rsidR="00715284">
        <w:t xml:space="preserve">conditions for the scope of the licensed activities and procedures, </w:t>
      </w:r>
      <w:r w:rsidR="00293E52">
        <w:t xml:space="preserve">rights and liabilities stemming </w:t>
      </w:r>
      <w:r w:rsidR="00715284">
        <w:t>from the licenses, limiting the activities within the scope of the licens</w:t>
      </w:r>
      <w:r w:rsidR="00293E52">
        <w:t xml:space="preserve">es, carrying out the activities </w:t>
      </w:r>
      <w:r w:rsidR="00715284">
        <w:t>and make the necessary arrangements.</w:t>
      </w:r>
    </w:p>
    <w:p w:rsidR="00D51F1D" w:rsidRPr="007E74CD" w:rsidRDefault="00D51F1D" w:rsidP="00E37E90">
      <w:pPr>
        <w:pStyle w:val="Balk2"/>
        <w:numPr>
          <w:ilvl w:val="1"/>
          <w:numId w:val="34"/>
        </w:numPr>
      </w:pPr>
      <w:bookmarkStart w:id="6" w:name="_Toc12956289"/>
      <w:r w:rsidRPr="007E74CD">
        <w:t>Structure and Authority</w:t>
      </w:r>
      <w:bookmarkEnd w:id="6"/>
    </w:p>
    <w:p w:rsidR="00D51F1D" w:rsidRDefault="00D51F1D" w:rsidP="00B5324E">
      <w:pPr>
        <w:spacing w:after="120" w:line="240" w:lineRule="auto"/>
        <w:ind w:left="360"/>
        <w:jc w:val="both"/>
      </w:pPr>
      <w:r w:rsidRPr="00822B0A">
        <w:t xml:space="preserve">The Authority consists of </w:t>
      </w:r>
      <w:r>
        <w:t xml:space="preserve">The </w:t>
      </w:r>
      <w:r w:rsidRPr="00822B0A">
        <w:t xml:space="preserve">Board, Presidency and the service units. </w:t>
      </w:r>
    </w:p>
    <w:p w:rsidR="00D51F1D" w:rsidRPr="007E74CD" w:rsidRDefault="00D51F1D" w:rsidP="00E37E90">
      <w:pPr>
        <w:pStyle w:val="Balk3"/>
        <w:numPr>
          <w:ilvl w:val="2"/>
          <w:numId w:val="34"/>
        </w:numPr>
      </w:pPr>
      <w:bookmarkStart w:id="7" w:name="_Toc12956290"/>
      <w:r w:rsidRPr="007E74CD">
        <w:t>Energy Market Regulatory Board</w:t>
      </w:r>
      <w:bookmarkEnd w:id="7"/>
    </w:p>
    <w:p w:rsidR="00D51F1D" w:rsidRPr="00822B0A" w:rsidRDefault="00D51F1D" w:rsidP="00B5324E">
      <w:pPr>
        <w:spacing w:after="120" w:line="240" w:lineRule="auto"/>
        <w:ind w:left="360"/>
      </w:pPr>
      <w:r w:rsidRPr="00822B0A">
        <w:t>The Au</w:t>
      </w:r>
      <w:r>
        <w:t>thority uses its powers via The Board</w:t>
      </w:r>
      <w:r w:rsidRPr="00822B0A">
        <w:t xml:space="preserve"> when performing its duties. The representative and decision making body of the Authority is the Board. The first Board assumed duty on 19.11.2001 by swearing an oath before the First Chairmanship of the Supreme Court of Appeals. The Board consists of </w:t>
      </w:r>
      <w:r>
        <w:t>seven</w:t>
      </w:r>
      <w:r w:rsidRPr="00822B0A">
        <w:t xml:space="preserve"> members one being the President and one being the vice President.</w:t>
      </w:r>
    </w:p>
    <w:p w:rsidR="00DB0362" w:rsidRDefault="00DB0362" w:rsidP="00B5324E">
      <w:pPr>
        <w:spacing w:after="120" w:line="240" w:lineRule="auto"/>
        <w:ind w:left="360"/>
        <w:jc w:val="both"/>
      </w:pPr>
      <w:r w:rsidRPr="00DB0362">
        <w:t>As of the date of their appointment, the Board members shall terminate without any further action as of the date of their fourth year in office.</w:t>
      </w:r>
      <w:r>
        <w:t xml:space="preserve"> The Board Members can</w:t>
      </w:r>
      <w:r w:rsidRPr="00822B0A">
        <w:t xml:space="preserve">not be taken from offices before the end of their terms of office. However, the President and Board Members who are convicted of breaching the prohibitions set forth in the Article 6 of the Law No:4628 or crimes offended in relation with their assigned duties; are determined to lose the qualifications required to be a civil servant as per the Civil Servants Law No.657 or  are not able to work for more than three months because of an illness or accident or whose health conditions are determined to be not suitable for working by a committee of doctors, then not necessarily waiting for three months, shall be taken from office by the Council of Ministers. </w:t>
      </w:r>
    </w:p>
    <w:p w:rsidR="00DB0362" w:rsidRPr="00822B0A" w:rsidRDefault="00DB0362" w:rsidP="00B5324E">
      <w:pPr>
        <w:spacing w:after="120" w:line="240" w:lineRule="auto"/>
        <w:ind w:left="360"/>
        <w:jc w:val="both"/>
      </w:pPr>
      <w:r w:rsidRPr="00822B0A">
        <w:t>In case the Presidency and Board memberships become vacant before the end of terms of office by any reason, appointments are made to the vacant posts within one month. The Board Members, whose terms of office end, are able to be re-elected.</w:t>
      </w:r>
    </w:p>
    <w:p w:rsidR="00DB0362" w:rsidRPr="00822B0A" w:rsidRDefault="00DB0362" w:rsidP="00B5324E">
      <w:pPr>
        <w:spacing w:after="120" w:line="240" w:lineRule="auto"/>
        <w:ind w:left="360"/>
        <w:jc w:val="both"/>
      </w:pPr>
      <w:r w:rsidRPr="00822B0A">
        <w:t xml:space="preserve">The Board meets whenever it deems necessary but at least once in a week. The meetings are chaired by the President and in the absence of the President by the Second President. The agenda of each meeting is prepared by the President or in the absence of the President by the Second President and notified to the Board Members. </w:t>
      </w:r>
    </w:p>
    <w:p w:rsidR="00DB0362" w:rsidRPr="00822B0A" w:rsidRDefault="00DB0362" w:rsidP="00B5324E">
      <w:pPr>
        <w:spacing w:after="120" w:line="240" w:lineRule="auto"/>
        <w:ind w:left="360"/>
        <w:jc w:val="both"/>
      </w:pPr>
      <w:r w:rsidRPr="00822B0A">
        <w:t xml:space="preserve">The Board meets with absolute majority and the decisions are taken with the majority of the participants. </w:t>
      </w:r>
    </w:p>
    <w:p w:rsidR="00DB0362" w:rsidRPr="001B3216" w:rsidRDefault="00DB0362" w:rsidP="00B5324E">
      <w:pPr>
        <w:spacing w:after="120" w:line="240" w:lineRule="auto"/>
        <w:ind w:left="360"/>
        <w:jc w:val="both"/>
        <w:rPr>
          <w:color w:val="000000" w:themeColor="text1"/>
        </w:rPr>
      </w:pPr>
      <w:r w:rsidRPr="00822B0A">
        <w:rPr>
          <w:color w:val="000000" w:themeColor="text1"/>
        </w:rPr>
        <w:t xml:space="preserve">In Table 1.1, the breakdown of Board Decisions taken in </w:t>
      </w:r>
      <w:r w:rsidR="001B3216">
        <w:t>2018</w:t>
      </w:r>
      <w:r w:rsidRPr="00822B0A">
        <w:t xml:space="preserve"> according to the service units is shown. And in </w:t>
      </w:r>
      <w:r w:rsidRPr="00822B0A">
        <w:rPr>
          <w:color w:val="000000" w:themeColor="text1"/>
        </w:rPr>
        <w:t xml:space="preserve">Table 1.2, the breakdown of Board Decisions taken in </w:t>
      </w:r>
      <w:r w:rsidR="001B3216">
        <w:rPr>
          <w:color w:val="000000" w:themeColor="text1"/>
        </w:rPr>
        <w:t>2013-2018</w:t>
      </w:r>
      <w:r w:rsidRPr="00822B0A">
        <w:rPr>
          <w:color w:val="000000" w:themeColor="text1"/>
        </w:rPr>
        <w:t xml:space="preserve"> according to the service units is shown. As seen in Table</w:t>
      </w:r>
      <w:r w:rsidR="001B3216">
        <w:rPr>
          <w:color w:val="000000" w:themeColor="text1"/>
        </w:rPr>
        <w:t xml:space="preserve"> 1.3, in 2018</w:t>
      </w:r>
      <w:r w:rsidRPr="00822B0A">
        <w:rPr>
          <w:color w:val="000000" w:themeColor="text1"/>
        </w:rPr>
        <w:t xml:space="preserve">, the Board took an average of </w:t>
      </w:r>
      <w:r w:rsidR="001B3216">
        <w:rPr>
          <w:color w:val="000000" w:themeColor="text1"/>
        </w:rPr>
        <w:t>161 d</w:t>
      </w:r>
      <w:r w:rsidRPr="00822B0A">
        <w:rPr>
          <w:color w:val="000000" w:themeColor="text1"/>
        </w:rPr>
        <w:t>ecisions in a week.  The aforementioned Board Decisions are mostly related with audit activi</w:t>
      </w:r>
      <w:r w:rsidR="001B3216">
        <w:rPr>
          <w:color w:val="000000" w:themeColor="text1"/>
        </w:rPr>
        <w:t>ties. On the other hand, in 2018 58</w:t>
      </w:r>
      <w:r w:rsidRPr="00822B0A">
        <w:rPr>
          <w:color w:val="000000" w:themeColor="text1"/>
        </w:rPr>
        <w:t xml:space="preserve"> </w:t>
      </w:r>
      <w:r w:rsidRPr="001B3216">
        <w:rPr>
          <w:color w:val="000000" w:themeColor="text1"/>
        </w:rPr>
        <w:t>B</w:t>
      </w:r>
      <w:r w:rsidR="001B3216" w:rsidRPr="001B3216">
        <w:rPr>
          <w:color w:val="000000" w:themeColor="text1"/>
        </w:rPr>
        <w:t>oard meetings were held. In 2018</w:t>
      </w:r>
      <w:r w:rsidRPr="001B3216">
        <w:rPr>
          <w:color w:val="000000" w:themeColor="text1"/>
        </w:rPr>
        <w:t xml:space="preserve">, the Board took an average of </w:t>
      </w:r>
      <w:r w:rsidR="001B3216" w:rsidRPr="001B3216">
        <w:rPr>
          <w:color w:val="000000" w:themeColor="text1"/>
        </w:rPr>
        <w:t>144</w:t>
      </w:r>
      <w:r w:rsidRPr="001B3216">
        <w:rPr>
          <w:color w:val="000000" w:themeColor="text1"/>
        </w:rPr>
        <w:t xml:space="preserve"> decisions in each meeting. </w:t>
      </w:r>
    </w:p>
    <w:p w:rsidR="001B3216" w:rsidRPr="0055522A" w:rsidRDefault="001B3216" w:rsidP="0055522A">
      <w:pPr>
        <w:pStyle w:val="Balk5"/>
        <w:rPr>
          <w:rStyle w:val="Gl"/>
          <w:b/>
          <w:bCs w:val="0"/>
        </w:rPr>
      </w:pPr>
      <w:bookmarkStart w:id="8" w:name="_Toc416447566"/>
      <w:bookmarkStart w:id="9" w:name="_Toc442441723"/>
      <w:bookmarkStart w:id="10" w:name="_Toc505346151"/>
      <w:bookmarkStart w:id="11" w:name="_Toc512874121"/>
      <w:bookmarkStart w:id="12" w:name="_Toc12958462"/>
      <w:r w:rsidRPr="0055522A">
        <w:rPr>
          <w:rStyle w:val="Gl"/>
          <w:b/>
          <w:bCs w:val="0"/>
        </w:rPr>
        <w:t>Table 1.1: Breakdown of Board Decisions taken in 2018 by Service Units</w:t>
      </w:r>
      <w:bookmarkEnd w:id="8"/>
      <w:bookmarkEnd w:id="9"/>
      <w:bookmarkEnd w:id="10"/>
      <w:bookmarkEnd w:id="11"/>
      <w:bookmarkEnd w:id="12"/>
    </w:p>
    <w:tbl>
      <w:tblPr>
        <w:tblW w:w="5000" w:type="pct"/>
        <w:tblCellMar>
          <w:left w:w="70" w:type="dxa"/>
          <w:right w:w="70" w:type="dxa"/>
        </w:tblCellMar>
        <w:tblLook w:val="04A0" w:firstRow="1" w:lastRow="0" w:firstColumn="1" w:lastColumn="0" w:noHBand="0" w:noVBand="1"/>
      </w:tblPr>
      <w:tblGrid>
        <w:gridCol w:w="5445"/>
        <w:gridCol w:w="1884"/>
        <w:gridCol w:w="2217"/>
      </w:tblGrid>
      <w:tr w:rsidR="001B3216" w:rsidRPr="001B3216" w:rsidTr="003F573B">
        <w:trPr>
          <w:trHeight w:val="20"/>
        </w:trPr>
        <w:tc>
          <w:tcPr>
            <w:tcW w:w="2852"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1B3216" w:rsidRPr="001B3216" w:rsidRDefault="001B3216" w:rsidP="00B5324E">
            <w:pPr>
              <w:spacing w:after="0" w:line="240" w:lineRule="auto"/>
              <w:jc w:val="center"/>
              <w:rPr>
                <w:rFonts w:ascii="Calibri" w:eastAsia="Times New Roman" w:hAnsi="Calibri"/>
                <w:b/>
                <w:bCs/>
                <w:color w:val="FFFFFF"/>
                <w:lang w:eastAsia="tr-TR"/>
              </w:rPr>
            </w:pPr>
            <w:r w:rsidRPr="001B3216">
              <w:rPr>
                <w:rFonts w:ascii="Calibri" w:eastAsia="Times New Roman" w:hAnsi="Calibri"/>
                <w:b/>
                <w:bCs/>
                <w:color w:val="FFFFFF"/>
                <w:lang w:eastAsia="tr-TR"/>
              </w:rPr>
              <w:t>Name of the Service Unit</w:t>
            </w:r>
          </w:p>
        </w:tc>
        <w:tc>
          <w:tcPr>
            <w:tcW w:w="987" w:type="pct"/>
            <w:tcBorders>
              <w:top w:val="single" w:sz="8" w:space="0" w:color="D9D9D9"/>
              <w:left w:val="nil"/>
              <w:bottom w:val="single" w:sz="8" w:space="0" w:color="D9D9D9"/>
              <w:right w:val="single" w:sz="8" w:space="0" w:color="D9D9D9"/>
            </w:tcBorders>
            <w:shd w:val="clear" w:color="000000" w:fill="6E9ECA"/>
            <w:vAlign w:val="center"/>
            <w:hideMark/>
          </w:tcPr>
          <w:p w:rsidR="001B3216" w:rsidRPr="001B3216" w:rsidRDefault="001B3216" w:rsidP="00B5324E">
            <w:pPr>
              <w:spacing w:after="0" w:line="240" w:lineRule="auto"/>
              <w:jc w:val="center"/>
              <w:rPr>
                <w:rFonts w:ascii="Calibri" w:eastAsia="Times New Roman" w:hAnsi="Calibri"/>
                <w:b/>
                <w:bCs/>
                <w:color w:val="FFFFFF"/>
                <w:lang w:eastAsia="tr-TR"/>
              </w:rPr>
            </w:pPr>
            <w:r w:rsidRPr="001B3216">
              <w:rPr>
                <w:rFonts w:ascii="Calibri" w:eastAsia="Times New Roman" w:hAnsi="Calibri"/>
                <w:b/>
                <w:bCs/>
                <w:color w:val="FFFFFF"/>
                <w:lang w:eastAsia="tr-TR"/>
              </w:rPr>
              <w:t># of Decisions</w:t>
            </w:r>
          </w:p>
        </w:tc>
        <w:tc>
          <w:tcPr>
            <w:tcW w:w="1161" w:type="pct"/>
            <w:tcBorders>
              <w:top w:val="single" w:sz="8" w:space="0" w:color="D9D9D9"/>
              <w:left w:val="nil"/>
              <w:bottom w:val="single" w:sz="8" w:space="0" w:color="D9D9D9"/>
              <w:right w:val="single" w:sz="8" w:space="0" w:color="D9D9D9"/>
            </w:tcBorders>
            <w:shd w:val="clear" w:color="000000" w:fill="6E9ECA"/>
            <w:vAlign w:val="center"/>
            <w:hideMark/>
          </w:tcPr>
          <w:p w:rsidR="001B3216" w:rsidRPr="001B3216" w:rsidRDefault="001B3216" w:rsidP="00B5324E">
            <w:pPr>
              <w:spacing w:after="0" w:line="240" w:lineRule="auto"/>
              <w:jc w:val="center"/>
              <w:rPr>
                <w:rFonts w:ascii="Calibri" w:eastAsia="Times New Roman" w:hAnsi="Calibri"/>
                <w:b/>
                <w:bCs/>
                <w:color w:val="FFFFFF"/>
                <w:lang w:eastAsia="tr-TR"/>
              </w:rPr>
            </w:pPr>
            <w:r w:rsidRPr="001B3216">
              <w:rPr>
                <w:rFonts w:ascii="Calibri" w:eastAsia="Times New Roman" w:hAnsi="Calibri"/>
                <w:b/>
                <w:bCs/>
                <w:color w:val="FFFFFF"/>
                <w:lang w:eastAsia="tr-TR"/>
              </w:rPr>
              <w:t>Share(%)</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Audit Department(DDB)</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3.044</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36,38</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Expropriation Department(KDB)</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2.100</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25,10</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Electricity Market Department(EPD)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2.049</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24,49</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Tariffs Department(TDB)</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546</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6,53</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Petroleum Market Department(PPD)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295</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3,53</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Natural Gas Market Department(DPD)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183</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2,19</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LPG Market Department(LPG)</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86</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1,03</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Human Resources and Support Services Department</w:t>
            </w:r>
            <w:r w:rsidR="00C95047">
              <w:rPr>
                <w:rFonts w:ascii="Calibri" w:eastAsia="Times New Roman" w:hAnsi="Calibri"/>
                <w:color w:val="000000"/>
                <w:lang w:eastAsia="tr-TR"/>
              </w:rPr>
              <w:t>(İKD</w:t>
            </w:r>
            <w:r w:rsidRPr="001B3216">
              <w:rPr>
                <w:rFonts w:ascii="Calibri" w:eastAsia="Times New Roman" w:hAnsi="Calibri"/>
                <w:color w:val="000000"/>
                <w:lang w:eastAsia="tr-TR"/>
              </w:rPr>
              <w:t>)</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38</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0,45</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Strategy Development Department(SGD)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24</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0,29</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Legal Department(HDB)</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1</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0,01</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color w:val="000000"/>
                <w:lang w:eastAsia="tr-TR"/>
              </w:rPr>
            </w:pPr>
            <w:r w:rsidRPr="001B3216">
              <w:rPr>
                <w:rFonts w:ascii="Calibri" w:eastAsia="Times New Roman" w:hAnsi="Calibri"/>
                <w:color w:val="000000"/>
                <w:lang w:eastAsia="tr-TR"/>
              </w:rPr>
              <w:t>Special Bureau for the Board(KHM)</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color w:val="000000"/>
                <w:lang w:eastAsia="tr-TR"/>
              </w:rPr>
            </w:pPr>
            <w:r w:rsidRPr="001B3216">
              <w:rPr>
                <w:rFonts w:ascii="Calibri" w:eastAsia="Times New Roman" w:hAnsi="Calibri"/>
                <w:color w:val="000000"/>
                <w:lang w:eastAsia="tr-TR"/>
              </w:rPr>
              <w:t>0</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color w:val="000000"/>
                <w:lang w:eastAsia="tr-TR"/>
              </w:rPr>
            </w:pPr>
            <w:r w:rsidRPr="001B3216">
              <w:rPr>
                <w:rFonts w:ascii="Calibri" w:eastAsia="Times New Roman" w:hAnsi="Calibri"/>
                <w:color w:val="000000"/>
                <w:lang w:eastAsia="tr-TR"/>
              </w:rPr>
              <w:t>0,00</w:t>
            </w:r>
          </w:p>
        </w:tc>
      </w:tr>
      <w:tr w:rsidR="001B3216" w:rsidRPr="001B3216"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both"/>
              <w:rPr>
                <w:rFonts w:ascii="Calibri" w:eastAsia="Times New Roman" w:hAnsi="Calibri"/>
                <w:b/>
                <w:bCs/>
                <w:color w:val="000000"/>
                <w:lang w:eastAsia="tr-TR"/>
              </w:rPr>
            </w:pPr>
            <w:r w:rsidRPr="001B3216">
              <w:rPr>
                <w:rFonts w:ascii="Calibri" w:eastAsia="Times New Roman" w:hAnsi="Calibri"/>
                <w:b/>
                <w:bCs/>
                <w:color w:val="000000"/>
                <w:lang w:eastAsia="tr-TR"/>
              </w:rPr>
              <w:t>Total</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right"/>
              <w:rPr>
                <w:rFonts w:ascii="Calibri" w:eastAsia="Times New Roman" w:hAnsi="Calibri"/>
                <w:b/>
                <w:bCs/>
                <w:color w:val="000000"/>
                <w:lang w:eastAsia="tr-TR"/>
              </w:rPr>
            </w:pPr>
            <w:r w:rsidRPr="001B3216">
              <w:rPr>
                <w:rFonts w:ascii="Calibri" w:eastAsia="Times New Roman" w:hAnsi="Calibri"/>
                <w:b/>
                <w:bCs/>
                <w:color w:val="000000"/>
                <w:lang w:eastAsia="tr-TR"/>
              </w:rPr>
              <w:t>8.366</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1B3216" w:rsidRDefault="001B3216" w:rsidP="00B5324E">
            <w:pPr>
              <w:spacing w:after="0" w:line="240" w:lineRule="auto"/>
              <w:jc w:val="center"/>
              <w:rPr>
                <w:rFonts w:ascii="Calibri" w:eastAsia="Times New Roman" w:hAnsi="Calibri"/>
                <w:b/>
                <w:bCs/>
                <w:color w:val="000000"/>
                <w:lang w:eastAsia="tr-TR"/>
              </w:rPr>
            </w:pPr>
            <w:r w:rsidRPr="001B3216">
              <w:rPr>
                <w:rFonts w:ascii="Calibri" w:eastAsia="Times New Roman" w:hAnsi="Calibri"/>
                <w:b/>
                <w:bCs/>
                <w:color w:val="000000"/>
                <w:lang w:eastAsia="tr-TR"/>
              </w:rPr>
              <w:t>100</w:t>
            </w:r>
          </w:p>
        </w:tc>
      </w:tr>
    </w:tbl>
    <w:p w:rsidR="00D94E3D" w:rsidRPr="0055522A" w:rsidRDefault="00D94E3D" w:rsidP="0055522A">
      <w:pPr>
        <w:pStyle w:val="Balk5"/>
        <w:rPr>
          <w:rStyle w:val="Gl"/>
          <w:b/>
          <w:bCs w:val="0"/>
        </w:rPr>
      </w:pPr>
      <w:bookmarkStart w:id="13" w:name="_Toc12958463"/>
      <w:r w:rsidRPr="0055522A">
        <w:rPr>
          <w:rStyle w:val="Gl"/>
          <w:b/>
          <w:bCs w:val="0"/>
        </w:rPr>
        <w:t>Figure 1.1: Board Decisions by the service units in 2018</w:t>
      </w:r>
      <w:bookmarkEnd w:id="13"/>
    </w:p>
    <w:p w:rsidR="00D94E3D" w:rsidRDefault="00D94E3D" w:rsidP="00B5324E">
      <w:pPr>
        <w:tabs>
          <w:tab w:val="left" w:pos="8661"/>
        </w:tabs>
        <w:spacing w:line="240" w:lineRule="auto"/>
        <w:jc w:val="center"/>
        <w:rPr>
          <w:b/>
        </w:rPr>
      </w:pPr>
      <w:r>
        <w:rPr>
          <w:lang w:val="tr-TR" w:eastAsia="tr-TR"/>
        </w:rPr>
        <w:drawing>
          <wp:inline distT="0" distB="0" distL="0" distR="0" wp14:anchorId="7DB8E4B5" wp14:editId="392AF0A9">
            <wp:extent cx="5794745" cy="2966484"/>
            <wp:effectExtent l="0" t="0" r="15875" b="571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94E3D" w:rsidRPr="00C95047" w:rsidRDefault="00D94E3D" w:rsidP="00B5324E">
      <w:pPr>
        <w:tabs>
          <w:tab w:val="left" w:pos="8661"/>
        </w:tabs>
        <w:spacing w:line="240" w:lineRule="auto"/>
        <w:ind w:left="720"/>
        <w:jc w:val="center"/>
        <w:rPr>
          <w:b/>
        </w:rPr>
      </w:pPr>
    </w:p>
    <w:p w:rsidR="00D94E3D" w:rsidRPr="0055522A" w:rsidRDefault="00D94E3D" w:rsidP="0055522A">
      <w:pPr>
        <w:pStyle w:val="Balk5"/>
        <w:rPr>
          <w:rStyle w:val="Gl"/>
          <w:b/>
          <w:bCs w:val="0"/>
        </w:rPr>
      </w:pPr>
      <w:bookmarkStart w:id="14" w:name="_Toc12958464"/>
      <w:r w:rsidRPr="0055522A">
        <w:rPr>
          <w:rStyle w:val="Gl"/>
          <w:b/>
          <w:bCs w:val="0"/>
        </w:rPr>
        <w:t>Table 1.2: Breakdown of Board Decisions taken in 2014-2018 by the service units</w:t>
      </w:r>
      <w:bookmarkEnd w:id="14"/>
    </w:p>
    <w:tbl>
      <w:tblPr>
        <w:tblW w:w="5000" w:type="pct"/>
        <w:tblCellMar>
          <w:left w:w="70" w:type="dxa"/>
          <w:right w:w="70" w:type="dxa"/>
        </w:tblCellMar>
        <w:tblLook w:val="04A0" w:firstRow="1" w:lastRow="0" w:firstColumn="1" w:lastColumn="0" w:noHBand="0" w:noVBand="1"/>
      </w:tblPr>
      <w:tblGrid>
        <w:gridCol w:w="735"/>
        <w:gridCol w:w="715"/>
        <w:gridCol w:w="715"/>
        <w:gridCol w:w="715"/>
        <w:gridCol w:w="715"/>
        <w:gridCol w:w="715"/>
        <w:gridCol w:w="715"/>
        <w:gridCol w:w="715"/>
        <w:gridCol w:w="715"/>
        <w:gridCol w:w="715"/>
        <w:gridCol w:w="715"/>
        <w:gridCol w:w="757"/>
        <w:gridCol w:w="904"/>
      </w:tblGrid>
      <w:tr w:rsidR="00D94E3D" w:rsidRPr="00C95047" w:rsidTr="003F573B">
        <w:trPr>
          <w:trHeight w:val="509"/>
        </w:trPr>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645E4B"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Name of The Service Unit</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D94E3D" w:rsidRPr="00C95047" w:rsidRDefault="00D94E3D"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2014</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645E4B"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Share</w:t>
            </w:r>
            <w:r w:rsidR="00D94E3D" w:rsidRPr="00C95047">
              <w:rPr>
                <w:rFonts w:ascii="Calibri" w:eastAsia="Times New Roman" w:hAnsi="Calibri"/>
                <w:b/>
                <w:bCs/>
                <w:color w:val="FFFFFF"/>
                <w:sz w:val="20"/>
                <w:szCs w:val="20"/>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D94E3D" w:rsidRPr="00C95047" w:rsidRDefault="00D94E3D"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2015</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645E4B"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Share</w:t>
            </w:r>
            <w:r w:rsidR="00D94E3D" w:rsidRPr="00C95047">
              <w:rPr>
                <w:rFonts w:ascii="Calibri" w:eastAsia="Times New Roman" w:hAnsi="Calibri"/>
                <w:b/>
                <w:bCs/>
                <w:color w:val="FFFFFF"/>
                <w:sz w:val="20"/>
                <w:szCs w:val="20"/>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D94E3D"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2016</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645E4B"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Share</w:t>
            </w:r>
            <w:r w:rsidR="00D94E3D" w:rsidRPr="00C95047">
              <w:rPr>
                <w:rFonts w:ascii="Calibri" w:eastAsia="Times New Roman" w:hAnsi="Calibri"/>
                <w:b/>
                <w:bCs/>
                <w:color w:val="FFFFFF"/>
                <w:sz w:val="20"/>
                <w:szCs w:val="20"/>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D94E3D"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2017</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645E4B"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Share</w:t>
            </w:r>
            <w:r w:rsidR="00D94E3D" w:rsidRPr="00C95047">
              <w:rPr>
                <w:rFonts w:ascii="Calibri" w:eastAsia="Times New Roman" w:hAnsi="Calibri"/>
                <w:b/>
                <w:bCs/>
                <w:color w:val="FFFFFF"/>
                <w:sz w:val="20"/>
                <w:szCs w:val="20"/>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D94E3D" w:rsidRPr="00C95047" w:rsidRDefault="00D94E3D"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2018</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645E4B"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Share</w:t>
            </w:r>
            <w:r w:rsidR="00D94E3D" w:rsidRPr="00C95047">
              <w:rPr>
                <w:rFonts w:ascii="Calibri" w:eastAsia="Times New Roman" w:hAnsi="Calibri"/>
                <w:b/>
                <w:bCs/>
                <w:color w:val="FFFFFF"/>
                <w:sz w:val="20"/>
                <w:szCs w:val="20"/>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645E4B"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Total</w:t>
            </w:r>
          </w:p>
        </w:tc>
        <w:tc>
          <w:tcPr>
            <w:tcW w:w="479"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C95047" w:rsidRDefault="00645E4B" w:rsidP="00B5324E">
            <w:pPr>
              <w:spacing w:after="0" w:line="240" w:lineRule="auto"/>
              <w:jc w:val="center"/>
              <w:rPr>
                <w:rFonts w:ascii="Calibri" w:eastAsia="Times New Roman" w:hAnsi="Calibri"/>
                <w:b/>
                <w:bCs/>
                <w:color w:val="FFFFFF"/>
                <w:sz w:val="20"/>
                <w:szCs w:val="20"/>
                <w:lang w:eastAsia="tr-TR"/>
              </w:rPr>
            </w:pPr>
            <w:r w:rsidRPr="00C95047">
              <w:rPr>
                <w:rFonts w:ascii="Calibri" w:eastAsia="Times New Roman" w:hAnsi="Calibri"/>
                <w:b/>
                <w:bCs/>
                <w:color w:val="FFFFFF"/>
                <w:sz w:val="20"/>
                <w:szCs w:val="20"/>
                <w:lang w:eastAsia="tr-TR"/>
              </w:rPr>
              <w:t>Share</w:t>
            </w:r>
            <w:r w:rsidR="00D94E3D" w:rsidRPr="00C95047">
              <w:rPr>
                <w:rFonts w:ascii="Calibri" w:eastAsia="Times New Roman" w:hAnsi="Calibri"/>
                <w:b/>
                <w:bCs/>
                <w:color w:val="FFFFFF"/>
                <w:sz w:val="20"/>
                <w:szCs w:val="20"/>
                <w:lang w:eastAsia="tr-TR"/>
              </w:rPr>
              <w:t xml:space="preserve"> </w:t>
            </w:r>
            <w:r w:rsidRPr="00C95047">
              <w:rPr>
                <w:rFonts w:ascii="Calibri" w:eastAsia="Times New Roman" w:hAnsi="Calibri"/>
                <w:b/>
                <w:bCs/>
                <w:color w:val="FFFFFF"/>
                <w:sz w:val="20"/>
                <w:szCs w:val="20"/>
                <w:lang w:eastAsia="tr-TR"/>
              </w:rPr>
              <w:t>(</w:t>
            </w:r>
            <w:r w:rsidR="00D94E3D" w:rsidRPr="00C95047">
              <w:rPr>
                <w:rFonts w:ascii="Calibri" w:eastAsia="Times New Roman" w:hAnsi="Calibri"/>
                <w:b/>
                <w:bCs/>
                <w:color w:val="FFFFFF"/>
                <w:sz w:val="20"/>
                <w:szCs w:val="20"/>
                <w:lang w:eastAsia="tr-TR"/>
              </w:rPr>
              <w:t>%</w:t>
            </w:r>
            <w:r w:rsidRPr="00C95047">
              <w:rPr>
                <w:rFonts w:ascii="Calibri" w:eastAsia="Times New Roman" w:hAnsi="Calibri"/>
                <w:b/>
                <w:bCs/>
                <w:color w:val="FFFFFF"/>
                <w:sz w:val="20"/>
                <w:szCs w:val="20"/>
                <w:lang w:eastAsia="tr-TR"/>
              </w:rPr>
              <w:t>)</w:t>
            </w:r>
          </w:p>
        </w:tc>
      </w:tr>
      <w:tr w:rsidR="00D94E3D" w:rsidRPr="00C95047" w:rsidTr="003F573B">
        <w:trPr>
          <w:trHeight w:val="509"/>
        </w:trPr>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c>
          <w:tcPr>
            <w:tcW w:w="479" w:type="pct"/>
            <w:vMerge/>
            <w:tcBorders>
              <w:top w:val="single" w:sz="8" w:space="0" w:color="D9D9D9"/>
              <w:left w:val="single" w:sz="8" w:space="0" w:color="D9D9D9"/>
              <w:bottom w:val="single" w:sz="8" w:space="0" w:color="D9D9D9"/>
              <w:right w:val="single" w:sz="8" w:space="0" w:color="D9D9D9"/>
            </w:tcBorders>
            <w:vAlign w:val="center"/>
            <w:hideMark/>
          </w:tcPr>
          <w:p w:rsidR="00D94E3D" w:rsidRPr="00C95047" w:rsidRDefault="00D94E3D" w:rsidP="00B5324E">
            <w:pPr>
              <w:spacing w:after="0" w:line="240" w:lineRule="auto"/>
              <w:rPr>
                <w:rFonts w:ascii="Calibri" w:eastAsia="Times New Roman" w:hAnsi="Calibri"/>
                <w:b/>
                <w:bCs/>
                <w:color w:val="FFFFFF"/>
                <w:sz w:val="20"/>
                <w:szCs w:val="20"/>
                <w:lang w:eastAsia="tr-TR"/>
              </w:rPr>
            </w:pP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AD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3.769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49,86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3.163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47,01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4.377</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56,90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2.382</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35,70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3.044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36,38</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16.735</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45,20</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EMD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1.753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23,19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1.676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24,91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1.214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15,79</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1.878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28,14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2.049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24,49</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8.570</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23,15</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ED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800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10,58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658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9,78</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698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9,07</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1010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15,14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2.100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25,10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5.266</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14,22</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TD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429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5,68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588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8,74</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637</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8,28</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525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7,87</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546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6,53</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2.725</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7,36</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NMD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360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4,76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293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4,35</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280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3,64</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364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5,45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183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2,19</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1.480</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4,00</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PMD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225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2,98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245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3,64</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381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4,95</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334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5,01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295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3,53</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1.480</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4,00</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LMD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103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1,36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0,58</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63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0,82</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116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1,74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86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1,03</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407</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1,10</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HRD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72</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0,95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0,52</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0,26</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0,52</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0,45</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200</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0,54</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SDD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48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0,64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0,42</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0,27</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0,43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24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0,29</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150</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0,41</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LD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 </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3</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0,01</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C95047" w:rsidRDefault="007D18CF" w:rsidP="00B5324E">
            <w:pPr>
              <w:spacing w:after="0" w:line="240" w:lineRule="auto"/>
              <w:jc w:val="both"/>
              <w:rPr>
                <w:rFonts w:ascii="Calibri" w:eastAsia="Times New Roman" w:hAnsi="Calibri"/>
                <w:color w:val="000000"/>
                <w:lang w:eastAsia="tr-TR"/>
              </w:rPr>
            </w:pPr>
            <w:r>
              <w:rPr>
                <w:rFonts w:ascii="Calibri" w:eastAsia="Times New Roman" w:hAnsi="Calibri"/>
                <w:color w:val="000000"/>
                <w:lang w:eastAsia="tr-TR"/>
              </w:rPr>
              <w:t>SBB</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 </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 </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0,04</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color w:val="000000"/>
                <w:sz w:val="20"/>
                <w:szCs w:val="20"/>
                <w:lang w:eastAsia="tr-TR"/>
              </w:rPr>
            </w:pPr>
            <w:r w:rsidRPr="00C95047">
              <w:rPr>
                <w:rFonts w:ascii="Calibri" w:eastAsia="Times New Roman" w:hAnsi="Calibri"/>
                <w:color w:val="000000"/>
                <w:sz w:val="20"/>
                <w:szCs w:val="20"/>
                <w:lang w:eastAsia="tr-TR"/>
              </w:rPr>
              <w:t>0,00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4</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0,01</w:t>
            </w:r>
          </w:p>
        </w:tc>
      </w:tr>
      <w:tr w:rsidR="00D94E3D" w:rsidRPr="00C95047"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noWrap/>
            <w:vAlign w:val="center"/>
            <w:hideMark/>
          </w:tcPr>
          <w:p w:rsidR="00D94E3D" w:rsidRPr="00C95047" w:rsidRDefault="00645E4B" w:rsidP="00B5324E">
            <w:pPr>
              <w:spacing w:after="0" w:line="240" w:lineRule="auto"/>
              <w:jc w:val="both"/>
              <w:rPr>
                <w:rFonts w:ascii="Calibri" w:eastAsia="Times New Roman" w:hAnsi="Calibri"/>
                <w:b/>
                <w:bCs/>
                <w:color w:val="000000"/>
                <w:lang w:eastAsia="tr-TR"/>
              </w:rPr>
            </w:pPr>
            <w:r w:rsidRPr="00C95047">
              <w:rPr>
                <w:rFonts w:ascii="Calibri" w:eastAsia="Times New Roman" w:hAnsi="Calibri"/>
                <w:b/>
                <w:bCs/>
                <w:color w:val="000000"/>
                <w:lang w:eastAsia="tr-TR"/>
              </w:rPr>
              <w:t>Total</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7.559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6.729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7.693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6.673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8.366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right"/>
              <w:rPr>
                <w:rFonts w:ascii="Calibri" w:eastAsia="Times New Roman" w:hAnsi="Calibri"/>
                <w:b/>
                <w:bCs/>
                <w:color w:val="000000"/>
                <w:lang w:eastAsia="tr-TR"/>
              </w:rPr>
            </w:pPr>
            <w:r w:rsidRPr="00C95047">
              <w:rPr>
                <w:rFonts w:ascii="Calibri" w:eastAsia="Times New Roman" w:hAnsi="Calibri"/>
                <w:b/>
                <w:bCs/>
                <w:color w:val="000000"/>
                <w:lang w:eastAsia="tr-TR"/>
              </w:rPr>
              <w:t>37.020</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C95047" w:rsidRDefault="00D94E3D" w:rsidP="00B5324E">
            <w:pPr>
              <w:spacing w:after="0" w:line="240" w:lineRule="auto"/>
              <w:jc w:val="center"/>
              <w:rPr>
                <w:rFonts w:ascii="Calibri" w:eastAsia="Times New Roman" w:hAnsi="Calibri"/>
                <w:b/>
                <w:bCs/>
                <w:color w:val="000000"/>
                <w:lang w:eastAsia="tr-TR"/>
              </w:rPr>
            </w:pPr>
            <w:r w:rsidRPr="00C95047">
              <w:rPr>
                <w:rFonts w:ascii="Calibri" w:eastAsia="Times New Roman" w:hAnsi="Calibri"/>
                <w:b/>
                <w:bCs/>
                <w:color w:val="000000"/>
                <w:lang w:eastAsia="tr-TR"/>
              </w:rPr>
              <w:t>100</w:t>
            </w:r>
          </w:p>
        </w:tc>
      </w:tr>
    </w:tbl>
    <w:p w:rsidR="00D94E3D" w:rsidRDefault="00D94E3D" w:rsidP="00B5324E">
      <w:pPr>
        <w:spacing w:after="120" w:line="240" w:lineRule="auto"/>
        <w:jc w:val="both"/>
      </w:pPr>
    </w:p>
    <w:p w:rsidR="007D18CF" w:rsidRPr="0055522A" w:rsidRDefault="007D18CF" w:rsidP="0055522A">
      <w:pPr>
        <w:pStyle w:val="Balk5"/>
        <w:rPr>
          <w:rStyle w:val="Gl"/>
          <w:b/>
          <w:bCs w:val="0"/>
        </w:rPr>
      </w:pPr>
      <w:bookmarkStart w:id="15" w:name="_Toc12958465"/>
      <w:r w:rsidRPr="0055522A">
        <w:rPr>
          <w:rStyle w:val="Gl"/>
          <w:b/>
          <w:bCs w:val="0"/>
        </w:rPr>
        <w:t>Table 1.3: General Breakdown of the Board Decisions taken in 2014-2018</w:t>
      </w:r>
      <w:bookmarkEnd w:id="15"/>
      <w:r w:rsidRPr="0055522A">
        <w:rPr>
          <w:rStyle w:val="Gl"/>
          <w:b/>
          <w:bCs w:val="0"/>
        </w:rPr>
        <w:t xml:space="preserve"> </w:t>
      </w: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883"/>
        <w:gridCol w:w="712"/>
        <w:gridCol w:w="712"/>
        <w:gridCol w:w="712"/>
        <w:gridCol w:w="713"/>
        <w:gridCol w:w="776"/>
        <w:gridCol w:w="2038"/>
      </w:tblGrid>
      <w:tr w:rsidR="007D18CF" w:rsidRPr="00CF408B" w:rsidTr="003F573B">
        <w:trPr>
          <w:trHeight w:val="915"/>
        </w:trPr>
        <w:tc>
          <w:tcPr>
            <w:tcW w:w="1891" w:type="pct"/>
            <w:shd w:val="clear" w:color="auto" w:fill="6E9ECA"/>
            <w:noWrap/>
            <w:vAlign w:val="center"/>
            <w:hideMark/>
          </w:tcPr>
          <w:p w:rsidR="007D18CF" w:rsidRPr="00CF408B" w:rsidRDefault="007D18CF" w:rsidP="00B5324E">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Years</w:t>
            </w:r>
          </w:p>
        </w:tc>
        <w:tc>
          <w:tcPr>
            <w:tcW w:w="397" w:type="pct"/>
            <w:shd w:val="clear" w:color="auto" w:fill="6E9ECA"/>
            <w:noWrap/>
            <w:vAlign w:val="center"/>
            <w:hideMark/>
          </w:tcPr>
          <w:p w:rsidR="007D18CF" w:rsidRPr="00CF408B" w:rsidRDefault="007D18CF" w:rsidP="00B5324E">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2014</w:t>
            </w:r>
          </w:p>
        </w:tc>
        <w:tc>
          <w:tcPr>
            <w:tcW w:w="397" w:type="pct"/>
            <w:shd w:val="clear" w:color="auto" w:fill="6E9ECA"/>
            <w:noWrap/>
            <w:vAlign w:val="center"/>
            <w:hideMark/>
          </w:tcPr>
          <w:p w:rsidR="007D18CF" w:rsidRPr="00CF408B" w:rsidRDefault="007D18CF" w:rsidP="00B5324E">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2015</w:t>
            </w:r>
          </w:p>
        </w:tc>
        <w:tc>
          <w:tcPr>
            <w:tcW w:w="397" w:type="pct"/>
            <w:shd w:val="clear" w:color="auto" w:fill="6E9ECA"/>
            <w:vAlign w:val="center"/>
            <w:hideMark/>
          </w:tcPr>
          <w:p w:rsidR="007D18CF" w:rsidRPr="00CF408B" w:rsidRDefault="007D18CF" w:rsidP="00B5324E">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2016</w:t>
            </w:r>
          </w:p>
        </w:tc>
        <w:tc>
          <w:tcPr>
            <w:tcW w:w="397" w:type="pct"/>
            <w:shd w:val="clear" w:color="auto" w:fill="6E9ECA"/>
            <w:vAlign w:val="center"/>
            <w:hideMark/>
          </w:tcPr>
          <w:p w:rsidR="007D18CF" w:rsidRPr="00CF408B" w:rsidRDefault="007D18CF" w:rsidP="00B5324E">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2017</w:t>
            </w:r>
          </w:p>
        </w:tc>
        <w:tc>
          <w:tcPr>
            <w:tcW w:w="430" w:type="pct"/>
            <w:shd w:val="clear" w:color="auto" w:fill="6E9ECA"/>
            <w:noWrap/>
            <w:vAlign w:val="center"/>
            <w:hideMark/>
          </w:tcPr>
          <w:p w:rsidR="007D18CF" w:rsidRPr="00CF408B" w:rsidRDefault="007D18CF" w:rsidP="00B5324E">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2018</w:t>
            </w:r>
          </w:p>
        </w:tc>
        <w:tc>
          <w:tcPr>
            <w:tcW w:w="1091" w:type="pct"/>
            <w:shd w:val="clear" w:color="auto" w:fill="6E9ECA"/>
            <w:vAlign w:val="center"/>
            <w:hideMark/>
          </w:tcPr>
          <w:p w:rsidR="007D18CF" w:rsidRPr="00CF408B" w:rsidRDefault="007D18CF" w:rsidP="00B5324E">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5 Years Total/Average Figures</w:t>
            </w:r>
          </w:p>
        </w:tc>
      </w:tr>
      <w:tr w:rsidR="007D18CF" w:rsidRPr="00B710A1" w:rsidTr="003F573B">
        <w:trPr>
          <w:trHeight w:hRule="exact" w:val="486"/>
        </w:trPr>
        <w:tc>
          <w:tcPr>
            <w:tcW w:w="1891" w:type="pct"/>
            <w:shd w:val="clear" w:color="auto" w:fill="auto"/>
            <w:noWrap/>
            <w:vAlign w:val="center"/>
            <w:hideMark/>
          </w:tcPr>
          <w:p w:rsidR="007D18CF" w:rsidRPr="00B710A1" w:rsidRDefault="007D18CF" w:rsidP="00B5324E">
            <w:pPr>
              <w:spacing w:after="0" w:line="240" w:lineRule="auto"/>
              <w:jc w:val="both"/>
              <w:rPr>
                <w:rFonts w:eastAsia="Times New Roman"/>
                <w:b/>
                <w:bCs/>
                <w:color w:val="000000"/>
                <w:lang w:eastAsia="tr-TR"/>
              </w:rPr>
            </w:pPr>
            <w:r>
              <w:rPr>
                <w:rFonts w:eastAsia="Times New Roman"/>
                <w:b/>
                <w:bCs/>
                <w:color w:val="000000"/>
                <w:lang w:eastAsia="tr-TR"/>
              </w:rPr>
              <w:t>Total Number of Decision</w:t>
            </w:r>
          </w:p>
        </w:tc>
        <w:tc>
          <w:tcPr>
            <w:tcW w:w="397" w:type="pct"/>
            <w:shd w:val="clear" w:color="auto" w:fill="auto"/>
            <w:noWrap/>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7.559</w:t>
            </w:r>
          </w:p>
        </w:tc>
        <w:tc>
          <w:tcPr>
            <w:tcW w:w="397" w:type="pct"/>
            <w:shd w:val="clear" w:color="auto" w:fill="auto"/>
            <w:noWrap/>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6.729</w:t>
            </w:r>
          </w:p>
        </w:tc>
        <w:tc>
          <w:tcPr>
            <w:tcW w:w="397" w:type="pct"/>
            <w:shd w:val="clear" w:color="auto" w:fill="auto"/>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7</w:t>
            </w:r>
            <w:r>
              <w:rPr>
                <w:rFonts w:eastAsia="Times New Roman"/>
                <w:color w:val="000000"/>
                <w:lang w:eastAsia="tr-TR"/>
              </w:rPr>
              <w:t>.</w:t>
            </w:r>
            <w:r w:rsidRPr="00B710A1">
              <w:rPr>
                <w:rFonts w:eastAsia="Times New Roman"/>
                <w:color w:val="000000"/>
                <w:lang w:eastAsia="tr-TR"/>
              </w:rPr>
              <w:t>693</w:t>
            </w:r>
          </w:p>
        </w:tc>
        <w:tc>
          <w:tcPr>
            <w:tcW w:w="397" w:type="pct"/>
            <w:shd w:val="clear" w:color="auto" w:fill="auto"/>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6.673</w:t>
            </w:r>
          </w:p>
        </w:tc>
        <w:tc>
          <w:tcPr>
            <w:tcW w:w="430" w:type="pct"/>
            <w:shd w:val="clear" w:color="auto" w:fill="auto"/>
            <w:noWrap/>
            <w:vAlign w:val="center"/>
          </w:tcPr>
          <w:p w:rsidR="007D18CF" w:rsidRPr="00B710A1" w:rsidRDefault="007D18CF" w:rsidP="00B5324E">
            <w:pPr>
              <w:spacing w:after="0" w:line="240" w:lineRule="auto"/>
              <w:jc w:val="right"/>
              <w:rPr>
                <w:rFonts w:eastAsia="Times New Roman"/>
                <w:color w:val="000000"/>
                <w:lang w:eastAsia="tr-TR"/>
              </w:rPr>
            </w:pPr>
            <w:r>
              <w:rPr>
                <w:rFonts w:eastAsia="Times New Roman"/>
                <w:color w:val="000000"/>
                <w:lang w:eastAsia="tr-TR"/>
              </w:rPr>
              <w:t>8.366</w:t>
            </w:r>
          </w:p>
        </w:tc>
        <w:tc>
          <w:tcPr>
            <w:tcW w:w="1091" w:type="pct"/>
            <w:shd w:val="clear" w:color="auto" w:fill="auto"/>
            <w:vAlign w:val="center"/>
          </w:tcPr>
          <w:p w:rsidR="007D18CF" w:rsidRPr="00B710A1" w:rsidRDefault="007D18CF" w:rsidP="00B5324E">
            <w:pPr>
              <w:spacing w:after="0" w:line="240" w:lineRule="auto"/>
              <w:jc w:val="right"/>
              <w:rPr>
                <w:rFonts w:eastAsia="Times New Roman"/>
                <w:color w:val="000000"/>
                <w:lang w:eastAsia="tr-TR"/>
              </w:rPr>
            </w:pPr>
            <w:r>
              <w:rPr>
                <w:rFonts w:eastAsia="Times New Roman"/>
                <w:color w:val="000000"/>
                <w:lang w:eastAsia="tr-TR"/>
              </w:rPr>
              <w:t>7.404</w:t>
            </w:r>
          </w:p>
        </w:tc>
      </w:tr>
      <w:tr w:rsidR="007D18CF" w:rsidRPr="00B710A1" w:rsidTr="003F573B">
        <w:trPr>
          <w:trHeight w:hRule="exact" w:val="421"/>
        </w:trPr>
        <w:tc>
          <w:tcPr>
            <w:tcW w:w="1891" w:type="pct"/>
            <w:shd w:val="clear" w:color="auto" w:fill="auto"/>
            <w:noWrap/>
            <w:vAlign w:val="center"/>
            <w:hideMark/>
          </w:tcPr>
          <w:p w:rsidR="007D18CF" w:rsidRPr="00B710A1" w:rsidRDefault="007D18CF" w:rsidP="00B5324E">
            <w:pPr>
              <w:spacing w:after="0" w:line="240" w:lineRule="auto"/>
              <w:jc w:val="both"/>
              <w:rPr>
                <w:rFonts w:eastAsia="Times New Roman"/>
                <w:b/>
                <w:bCs/>
                <w:color w:val="000000"/>
                <w:lang w:eastAsia="tr-TR"/>
              </w:rPr>
            </w:pPr>
            <w:r>
              <w:rPr>
                <w:rFonts w:eastAsia="Times New Roman"/>
                <w:b/>
                <w:bCs/>
                <w:color w:val="000000"/>
                <w:lang w:eastAsia="tr-TR"/>
              </w:rPr>
              <w:t>Number of Meetings</w:t>
            </w:r>
          </w:p>
        </w:tc>
        <w:tc>
          <w:tcPr>
            <w:tcW w:w="397" w:type="pct"/>
            <w:shd w:val="clear" w:color="auto" w:fill="auto"/>
            <w:noWrap/>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59</w:t>
            </w:r>
          </w:p>
        </w:tc>
        <w:tc>
          <w:tcPr>
            <w:tcW w:w="397" w:type="pct"/>
            <w:shd w:val="clear" w:color="auto" w:fill="auto"/>
            <w:noWrap/>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65</w:t>
            </w:r>
          </w:p>
        </w:tc>
        <w:tc>
          <w:tcPr>
            <w:tcW w:w="397" w:type="pct"/>
            <w:shd w:val="clear" w:color="auto" w:fill="auto"/>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56</w:t>
            </w:r>
          </w:p>
        </w:tc>
        <w:tc>
          <w:tcPr>
            <w:tcW w:w="397" w:type="pct"/>
            <w:shd w:val="clear" w:color="auto" w:fill="auto"/>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54</w:t>
            </w:r>
          </w:p>
        </w:tc>
        <w:tc>
          <w:tcPr>
            <w:tcW w:w="430" w:type="pct"/>
            <w:shd w:val="clear" w:color="auto" w:fill="auto"/>
            <w:noWrap/>
            <w:vAlign w:val="center"/>
          </w:tcPr>
          <w:p w:rsidR="007D18CF" w:rsidRPr="00B710A1" w:rsidRDefault="007D18CF" w:rsidP="00B5324E">
            <w:pPr>
              <w:spacing w:after="0" w:line="240" w:lineRule="auto"/>
              <w:jc w:val="right"/>
              <w:rPr>
                <w:rFonts w:eastAsia="Times New Roman"/>
                <w:color w:val="000000"/>
                <w:lang w:eastAsia="tr-TR"/>
              </w:rPr>
            </w:pPr>
            <w:r>
              <w:rPr>
                <w:rFonts w:eastAsia="Times New Roman"/>
                <w:color w:val="000000"/>
                <w:lang w:eastAsia="tr-TR"/>
              </w:rPr>
              <w:t>58</w:t>
            </w:r>
          </w:p>
        </w:tc>
        <w:tc>
          <w:tcPr>
            <w:tcW w:w="1091" w:type="pct"/>
            <w:shd w:val="clear" w:color="auto" w:fill="auto"/>
            <w:vAlign w:val="center"/>
          </w:tcPr>
          <w:p w:rsidR="007D18CF" w:rsidRPr="00B710A1" w:rsidRDefault="007D18CF" w:rsidP="00B5324E">
            <w:pPr>
              <w:spacing w:after="0" w:line="240" w:lineRule="auto"/>
              <w:jc w:val="right"/>
              <w:rPr>
                <w:rFonts w:eastAsia="Times New Roman"/>
                <w:color w:val="000000"/>
                <w:lang w:eastAsia="tr-TR"/>
              </w:rPr>
            </w:pPr>
            <w:r>
              <w:rPr>
                <w:rFonts w:eastAsia="Times New Roman"/>
                <w:color w:val="000000"/>
                <w:lang w:eastAsia="tr-TR"/>
              </w:rPr>
              <w:t>58</w:t>
            </w:r>
          </w:p>
        </w:tc>
      </w:tr>
      <w:tr w:rsidR="007D18CF" w:rsidRPr="00B710A1" w:rsidTr="003F573B">
        <w:trPr>
          <w:trHeight w:hRule="exact" w:val="507"/>
        </w:trPr>
        <w:tc>
          <w:tcPr>
            <w:tcW w:w="1891" w:type="pct"/>
            <w:shd w:val="clear" w:color="auto" w:fill="auto"/>
            <w:noWrap/>
            <w:vAlign w:val="center"/>
            <w:hideMark/>
          </w:tcPr>
          <w:p w:rsidR="007D18CF" w:rsidRPr="00B710A1" w:rsidRDefault="007D18CF" w:rsidP="00B5324E">
            <w:pPr>
              <w:spacing w:after="0" w:line="240" w:lineRule="auto"/>
              <w:jc w:val="both"/>
              <w:rPr>
                <w:rFonts w:eastAsia="Times New Roman"/>
                <w:b/>
                <w:bCs/>
                <w:color w:val="000000"/>
                <w:lang w:eastAsia="tr-TR"/>
              </w:rPr>
            </w:pPr>
            <w:r>
              <w:rPr>
                <w:rFonts w:eastAsia="Times New Roman"/>
                <w:b/>
                <w:bCs/>
                <w:color w:val="000000"/>
                <w:lang w:eastAsia="tr-TR"/>
              </w:rPr>
              <w:t>Average number of Decision per meeting</w:t>
            </w:r>
          </w:p>
        </w:tc>
        <w:tc>
          <w:tcPr>
            <w:tcW w:w="397" w:type="pct"/>
            <w:shd w:val="clear" w:color="auto" w:fill="auto"/>
            <w:noWrap/>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128</w:t>
            </w:r>
          </w:p>
        </w:tc>
        <w:tc>
          <w:tcPr>
            <w:tcW w:w="397" w:type="pct"/>
            <w:shd w:val="clear" w:color="auto" w:fill="auto"/>
            <w:noWrap/>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104</w:t>
            </w:r>
          </w:p>
        </w:tc>
        <w:tc>
          <w:tcPr>
            <w:tcW w:w="397" w:type="pct"/>
            <w:shd w:val="clear" w:color="auto" w:fill="auto"/>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137</w:t>
            </w:r>
          </w:p>
        </w:tc>
        <w:tc>
          <w:tcPr>
            <w:tcW w:w="397" w:type="pct"/>
            <w:shd w:val="clear" w:color="auto" w:fill="auto"/>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124</w:t>
            </w:r>
          </w:p>
        </w:tc>
        <w:tc>
          <w:tcPr>
            <w:tcW w:w="430" w:type="pct"/>
            <w:shd w:val="clear" w:color="auto" w:fill="auto"/>
            <w:noWrap/>
            <w:vAlign w:val="center"/>
          </w:tcPr>
          <w:p w:rsidR="007D18CF" w:rsidRPr="00B710A1" w:rsidRDefault="007D18CF" w:rsidP="00B5324E">
            <w:pPr>
              <w:spacing w:after="0" w:line="240" w:lineRule="auto"/>
              <w:jc w:val="right"/>
              <w:rPr>
                <w:rFonts w:eastAsia="Times New Roman"/>
                <w:color w:val="000000"/>
                <w:lang w:eastAsia="tr-TR"/>
              </w:rPr>
            </w:pPr>
            <w:r>
              <w:rPr>
                <w:rFonts w:eastAsia="Times New Roman"/>
                <w:color w:val="000000"/>
                <w:lang w:eastAsia="tr-TR"/>
              </w:rPr>
              <w:t>144</w:t>
            </w:r>
          </w:p>
        </w:tc>
        <w:tc>
          <w:tcPr>
            <w:tcW w:w="1091" w:type="pct"/>
            <w:shd w:val="clear" w:color="auto" w:fill="auto"/>
            <w:vAlign w:val="center"/>
          </w:tcPr>
          <w:p w:rsidR="007D18CF" w:rsidRPr="00B710A1" w:rsidRDefault="007D18CF" w:rsidP="00B5324E">
            <w:pPr>
              <w:spacing w:after="0" w:line="240" w:lineRule="auto"/>
              <w:jc w:val="right"/>
              <w:rPr>
                <w:rFonts w:eastAsia="Times New Roman"/>
                <w:color w:val="000000"/>
                <w:lang w:eastAsia="tr-TR"/>
              </w:rPr>
            </w:pPr>
            <w:r>
              <w:rPr>
                <w:rFonts w:eastAsia="Times New Roman"/>
                <w:color w:val="000000"/>
                <w:lang w:eastAsia="tr-TR"/>
              </w:rPr>
              <w:t>127</w:t>
            </w:r>
          </w:p>
        </w:tc>
      </w:tr>
      <w:tr w:rsidR="007D18CF" w:rsidRPr="00B710A1" w:rsidTr="003F573B">
        <w:trPr>
          <w:trHeight w:hRule="exact" w:val="429"/>
        </w:trPr>
        <w:tc>
          <w:tcPr>
            <w:tcW w:w="1891" w:type="pct"/>
            <w:shd w:val="clear" w:color="auto" w:fill="auto"/>
            <w:noWrap/>
            <w:vAlign w:val="center"/>
            <w:hideMark/>
          </w:tcPr>
          <w:p w:rsidR="007D18CF" w:rsidRPr="00B710A1" w:rsidRDefault="007D18CF" w:rsidP="00B5324E">
            <w:pPr>
              <w:spacing w:after="0" w:line="240" w:lineRule="auto"/>
              <w:jc w:val="both"/>
              <w:rPr>
                <w:rFonts w:eastAsia="Times New Roman"/>
                <w:b/>
                <w:bCs/>
                <w:color w:val="000000"/>
                <w:lang w:eastAsia="tr-TR"/>
              </w:rPr>
            </w:pPr>
            <w:r>
              <w:rPr>
                <w:rFonts w:eastAsia="Times New Roman"/>
                <w:b/>
                <w:bCs/>
                <w:color w:val="000000"/>
                <w:lang w:eastAsia="tr-TR"/>
              </w:rPr>
              <w:t>Average number of Decision per week</w:t>
            </w:r>
          </w:p>
        </w:tc>
        <w:tc>
          <w:tcPr>
            <w:tcW w:w="397" w:type="pct"/>
            <w:shd w:val="clear" w:color="auto" w:fill="auto"/>
            <w:noWrap/>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145</w:t>
            </w:r>
          </w:p>
        </w:tc>
        <w:tc>
          <w:tcPr>
            <w:tcW w:w="397" w:type="pct"/>
            <w:shd w:val="clear" w:color="auto" w:fill="auto"/>
            <w:noWrap/>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130</w:t>
            </w:r>
          </w:p>
        </w:tc>
        <w:tc>
          <w:tcPr>
            <w:tcW w:w="397" w:type="pct"/>
            <w:shd w:val="clear" w:color="auto" w:fill="auto"/>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147</w:t>
            </w:r>
          </w:p>
        </w:tc>
        <w:tc>
          <w:tcPr>
            <w:tcW w:w="397" w:type="pct"/>
            <w:shd w:val="clear" w:color="auto" w:fill="auto"/>
            <w:vAlign w:val="center"/>
            <w:hideMark/>
          </w:tcPr>
          <w:p w:rsidR="007D18CF" w:rsidRPr="00B710A1" w:rsidRDefault="007D18CF" w:rsidP="00B5324E">
            <w:pPr>
              <w:spacing w:after="0" w:line="240" w:lineRule="auto"/>
              <w:jc w:val="right"/>
              <w:rPr>
                <w:rFonts w:eastAsia="Times New Roman"/>
                <w:color w:val="000000"/>
                <w:lang w:eastAsia="tr-TR"/>
              </w:rPr>
            </w:pPr>
            <w:r w:rsidRPr="00B710A1">
              <w:rPr>
                <w:rFonts w:eastAsia="Times New Roman"/>
                <w:color w:val="000000"/>
                <w:lang w:eastAsia="tr-TR"/>
              </w:rPr>
              <w:t>128</w:t>
            </w:r>
          </w:p>
        </w:tc>
        <w:tc>
          <w:tcPr>
            <w:tcW w:w="430" w:type="pct"/>
            <w:shd w:val="clear" w:color="auto" w:fill="auto"/>
            <w:noWrap/>
            <w:vAlign w:val="center"/>
          </w:tcPr>
          <w:p w:rsidR="007D18CF" w:rsidRPr="00B710A1" w:rsidRDefault="007D18CF" w:rsidP="00B5324E">
            <w:pPr>
              <w:spacing w:after="0" w:line="240" w:lineRule="auto"/>
              <w:jc w:val="right"/>
              <w:rPr>
                <w:rFonts w:eastAsia="Times New Roman"/>
                <w:color w:val="000000"/>
                <w:lang w:eastAsia="tr-TR"/>
              </w:rPr>
            </w:pPr>
            <w:r>
              <w:rPr>
                <w:rFonts w:eastAsia="Times New Roman"/>
                <w:color w:val="000000"/>
                <w:lang w:eastAsia="tr-TR"/>
              </w:rPr>
              <w:t>161</w:t>
            </w:r>
          </w:p>
        </w:tc>
        <w:tc>
          <w:tcPr>
            <w:tcW w:w="1091" w:type="pct"/>
            <w:shd w:val="clear" w:color="auto" w:fill="auto"/>
            <w:vAlign w:val="center"/>
          </w:tcPr>
          <w:p w:rsidR="007D18CF" w:rsidRPr="00B710A1" w:rsidRDefault="007D18CF" w:rsidP="00B5324E">
            <w:pPr>
              <w:spacing w:after="0" w:line="240" w:lineRule="auto"/>
              <w:jc w:val="right"/>
              <w:rPr>
                <w:rFonts w:eastAsia="Times New Roman"/>
                <w:color w:val="000000"/>
                <w:lang w:eastAsia="tr-TR"/>
              </w:rPr>
            </w:pPr>
            <w:r>
              <w:rPr>
                <w:rFonts w:eastAsia="Times New Roman"/>
                <w:color w:val="000000"/>
                <w:lang w:eastAsia="tr-TR"/>
              </w:rPr>
              <w:t>142</w:t>
            </w:r>
          </w:p>
        </w:tc>
      </w:tr>
    </w:tbl>
    <w:p w:rsidR="007D18CF" w:rsidRDefault="007D18CF" w:rsidP="00B5324E">
      <w:pPr>
        <w:spacing w:after="120" w:line="240" w:lineRule="auto"/>
        <w:jc w:val="both"/>
      </w:pPr>
    </w:p>
    <w:p w:rsidR="003A74F3" w:rsidRPr="00822B0A" w:rsidRDefault="003A74F3" w:rsidP="00B5324E">
      <w:pPr>
        <w:spacing w:after="120" w:line="240" w:lineRule="auto"/>
        <w:jc w:val="both"/>
        <w:rPr>
          <w:color w:val="000000" w:themeColor="text1"/>
        </w:rPr>
      </w:pPr>
      <w:r w:rsidRPr="00822B0A">
        <w:rPr>
          <w:color w:val="000000" w:themeColor="text1"/>
        </w:rPr>
        <w:t xml:space="preserve">As shown in the tables, in the period between </w:t>
      </w:r>
      <w:r>
        <w:rPr>
          <w:color w:val="000000" w:themeColor="text1"/>
        </w:rPr>
        <w:t>2014-2018</w:t>
      </w:r>
      <w:r w:rsidRPr="00822B0A">
        <w:rPr>
          <w:color w:val="000000" w:themeColor="text1"/>
        </w:rPr>
        <w:t xml:space="preserve">, the Board took an average of </w:t>
      </w:r>
      <w:r>
        <w:rPr>
          <w:color w:val="000000" w:themeColor="text1"/>
        </w:rPr>
        <w:t>7404</w:t>
      </w:r>
      <w:r w:rsidRPr="00822B0A">
        <w:rPr>
          <w:color w:val="000000" w:themeColor="text1"/>
        </w:rPr>
        <w:t xml:space="preserve"> decisions in a year. In th</w:t>
      </w:r>
      <w:r>
        <w:rPr>
          <w:color w:val="000000" w:themeColor="text1"/>
        </w:rPr>
        <w:t>e said period, an average of 127</w:t>
      </w:r>
      <w:r w:rsidRPr="00822B0A">
        <w:rPr>
          <w:color w:val="000000" w:themeColor="text1"/>
        </w:rPr>
        <w:t xml:space="preserve"> Boa</w:t>
      </w:r>
      <w:r>
        <w:rPr>
          <w:color w:val="000000" w:themeColor="text1"/>
        </w:rPr>
        <w:t>rd Decisions per meeting and 142</w:t>
      </w:r>
      <w:r w:rsidRPr="00822B0A">
        <w:rPr>
          <w:color w:val="000000" w:themeColor="text1"/>
        </w:rPr>
        <w:t xml:space="preserve"> Decisions per week was taken. In the said period, about </w:t>
      </w:r>
      <w:r>
        <w:rPr>
          <w:color w:val="000000" w:themeColor="text1"/>
        </w:rPr>
        <w:t>45</w:t>
      </w:r>
      <w:r w:rsidRPr="00822B0A">
        <w:rPr>
          <w:color w:val="000000" w:themeColor="text1"/>
        </w:rPr>
        <w:t xml:space="preserve">% of the Board Decisions were related with audit, </w:t>
      </w:r>
      <w:r>
        <w:rPr>
          <w:color w:val="000000" w:themeColor="text1"/>
        </w:rPr>
        <w:t>23</w:t>
      </w:r>
      <w:r w:rsidRPr="00822B0A">
        <w:rPr>
          <w:color w:val="000000" w:themeColor="text1"/>
        </w:rPr>
        <w:t xml:space="preserve">% about electricity market and </w:t>
      </w:r>
      <w:r>
        <w:rPr>
          <w:color w:val="000000" w:themeColor="text1"/>
        </w:rPr>
        <w:t>14</w:t>
      </w:r>
      <w:r w:rsidRPr="00822B0A">
        <w:rPr>
          <w:color w:val="000000" w:themeColor="text1"/>
        </w:rPr>
        <w:t xml:space="preserve">% about expropriation activities.  </w:t>
      </w:r>
    </w:p>
    <w:p w:rsidR="003A74F3" w:rsidRDefault="003A74F3" w:rsidP="00B5324E">
      <w:pPr>
        <w:spacing w:after="120" w:line="240" w:lineRule="auto"/>
        <w:jc w:val="both"/>
      </w:pPr>
    </w:p>
    <w:p w:rsidR="007A299F" w:rsidRPr="0055522A" w:rsidRDefault="007A299F" w:rsidP="0055522A">
      <w:pPr>
        <w:pStyle w:val="Balk5"/>
      </w:pPr>
      <w:bookmarkStart w:id="16" w:name="_Toc6684333"/>
      <w:bookmarkStart w:id="17" w:name="_Toc12958466"/>
      <w:r w:rsidRPr="0055522A">
        <w:rPr>
          <w:rStyle w:val="Gl"/>
          <w:b/>
          <w:bCs w:val="0"/>
        </w:rPr>
        <w:t xml:space="preserve">Figure 1.2: </w:t>
      </w:r>
      <w:bookmarkEnd w:id="16"/>
      <w:r w:rsidRPr="0055522A">
        <w:rPr>
          <w:rStyle w:val="Gl"/>
          <w:b/>
          <w:bCs w:val="0"/>
        </w:rPr>
        <w:t>Breakdown of The Board Decision taken in the period 2014-2018</w:t>
      </w:r>
      <w:bookmarkEnd w:id="17"/>
    </w:p>
    <w:p w:rsidR="00FC0A0B" w:rsidRDefault="00423290" w:rsidP="00B5324E">
      <w:pPr>
        <w:spacing w:after="120" w:line="240" w:lineRule="auto"/>
        <w:ind w:left="720"/>
        <w:jc w:val="both"/>
      </w:pPr>
      <w:r>
        <w:rPr>
          <w:lang w:val="tr-TR" w:eastAsia="tr-TR"/>
        </w:rPr>
        <w:drawing>
          <wp:inline distT="0" distB="0" distL="0" distR="0">
            <wp:extent cx="5390515" cy="2955925"/>
            <wp:effectExtent l="0" t="0" r="63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0515" cy="2955925"/>
                    </a:xfrm>
                    <a:prstGeom prst="rect">
                      <a:avLst/>
                    </a:prstGeom>
                    <a:noFill/>
                    <a:ln>
                      <a:noFill/>
                    </a:ln>
                  </pic:spPr>
                </pic:pic>
              </a:graphicData>
            </a:graphic>
          </wp:inline>
        </w:drawing>
      </w:r>
    </w:p>
    <w:p w:rsidR="00423290" w:rsidRDefault="00423290" w:rsidP="00B5324E">
      <w:pPr>
        <w:spacing w:after="120" w:line="240" w:lineRule="auto"/>
        <w:ind w:left="720"/>
        <w:jc w:val="both"/>
      </w:pPr>
    </w:p>
    <w:p w:rsidR="00D86E98" w:rsidRPr="00822B0A" w:rsidRDefault="00D86E98" w:rsidP="00B5324E">
      <w:pPr>
        <w:spacing w:after="120" w:line="240" w:lineRule="auto"/>
        <w:jc w:val="both"/>
        <w:rPr>
          <w:color w:val="000000" w:themeColor="text1"/>
        </w:rPr>
      </w:pPr>
      <w:r w:rsidRPr="00822B0A">
        <w:rPr>
          <w:color w:val="000000" w:themeColor="text1"/>
        </w:rPr>
        <w:t>Decisions of administrative sanctions of the Board can be litigated at the Competent Administrative Court.</w:t>
      </w:r>
      <w:r w:rsidRPr="00822B0A">
        <w:rPr>
          <w:rFonts w:ascii="Arial" w:hAnsi="Arial" w:cs="Arial"/>
        </w:rPr>
        <w:t xml:space="preserve">  </w:t>
      </w:r>
      <w:r w:rsidRPr="00822B0A">
        <w:rPr>
          <w:color w:val="000000" w:themeColor="text1"/>
        </w:rPr>
        <w:t>Any lawsuits against Board Decisions are deemed as having priority.</w:t>
      </w:r>
      <w:r w:rsidRPr="00822B0A">
        <w:rPr>
          <w:rFonts w:ascii="Arial" w:hAnsi="Arial" w:cs="Arial"/>
        </w:rPr>
        <w:t xml:space="preserve"> </w:t>
      </w:r>
    </w:p>
    <w:p w:rsidR="00D86E98" w:rsidRDefault="00D86E98" w:rsidP="00B5324E">
      <w:pPr>
        <w:spacing w:after="120" w:line="240" w:lineRule="auto"/>
        <w:jc w:val="both"/>
        <w:rPr>
          <w:color w:val="000000" w:themeColor="text1"/>
        </w:rPr>
      </w:pPr>
      <w:r w:rsidRPr="00822B0A">
        <w:rPr>
          <w:color w:val="000000" w:themeColor="text1"/>
        </w:rPr>
        <w:t>The Authority is entrusted with various duties and powers by the related laws and such duties and powers are also stated in the Art</w:t>
      </w:r>
      <w:r>
        <w:rPr>
          <w:color w:val="000000" w:themeColor="text1"/>
        </w:rPr>
        <w:t>ic</w:t>
      </w:r>
      <w:r w:rsidRPr="00822B0A">
        <w:rPr>
          <w:color w:val="000000" w:themeColor="text1"/>
        </w:rPr>
        <w:t xml:space="preserve">les 5, 5/A, 5/B and 5/C of the Electricity Market Law No: 4628.  </w:t>
      </w:r>
    </w:p>
    <w:p w:rsidR="00423290" w:rsidRDefault="00423290" w:rsidP="00B5324E">
      <w:pPr>
        <w:spacing w:after="120" w:line="240" w:lineRule="auto"/>
        <w:jc w:val="both"/>
      </w:pPr>
    </w:p>
    <w:p w:rsidR="00D86E98" w:rsidRPr="007E74CD" w:rsidRDefault="00D86E98" w:rsidP="00E37E90">
      <w:pPr>
        <w:pStyle w:val="Balk3"/>
        <w:numPr>
          <w:ilvl w:val="2"/>
          <w:numId w:val="34"/>
        </w:numPr>
      </w:pPr>
      <w:bookmarkStart w:id="18" w:name="_Toc12956291"/>
      <w:r w:rsidRPr="007E74CD">
        <w:t>The Presidency</w:t>
      </w:r>
      <w:bookmarkEnd w:id="18"/>
    </w:p>
    <w:p w:rsidR="002E3D3F" w:rsidRPr="00822B0A" w:rsidRDefault="002E3D3F" w:rsidP="00B5324E">
      <w:pPr>
        <w:spacing w:after="120" w:line="240" w:lineRule="auto"/>
        <w:ind w:left="360"/>
        <w:jc w:val="both"/>
      </w:pPr>
      <w:r w:rsidRPr="00822B0A">
        <w:t>The Chairman of the Board is also the President of the Authority. The organization and coordination among the Board Members and the service units are performed by the President. The President is responsible for the enforcement and the execution of the Board decisions and representation of the Board. These responsibilities also include the communication to the public of the works of the Board. All the decisions of the Authority ex</w:t>
      </w:r>
      <w:r w:rsidR="00FB450F">
        <w:t>cept for the powers entrusted</w:t>
      </w:r>
      <w:r w:rsidRPr="00822B0A">
        <w:t xml:space="preserve"> to the staff by the President are taken by the Board. The Board assigns tasks to or authorizes the President in subjects it deems appropriate. </w:t>
      </w:r>
    </w:p>
    <w:p w:rsidR="002E3D3F" w:rsidRPr="00822B0A" w:rsidRDefault="002E3D3F" w:rsidP="00B5324E">
      <w:pPr>
        <w:spacing w:after="120" w:line="240" w:lineRule="auto"/>
        <w:ind w:left="360"/>
        <w:jc w:val="both"/>
      </w:pPr>
      <w:r w:rsidRPr="00822B0A">
        <w:t xml:space="preserve">The Second President assumes all duties and powers of the President in the absence of the President. </w:t>
      </w:r>
    </w:p>
    <w:p w:rsidR="002E3D3F" w:rsidRPr="00822B0A" w:rsidRDefault="002E3D3F" w:rsidP="00B5324E">
      <w:pPr>
        <w:spacing w:after="120" w:line="240" w:lineRule="auto"/>
        <w:ind w:left="360"/>
        <w:jc w:val="both"/>
      </w:pPr>
      <w:r w:rsidRPr="00822B0A">
        <w:t xml:space="preserve">With a Board Decision, two Vice Presidents may be assigned to help the President perform his/her duties related with the Presidency. Vice Presidents are responsible for the execution of the duties assigned by the President and for the coordination among the related service units. </w:t>
      </w:r>
    </w:p>
    <w:p w:rsidR="002E3D3F" w:rsidRDefault="002E3D3F" w:rsidP="00B5324E">
      <w:pPr>
        <w:spacing w:after="120" w:line="240" w:lineRule="auto"/>
        <w:ind w:left="360"/>
        <w:jc w:val="both"/>
      </w:pPr>
      <w:r w:rsidRPr="00822B0A">
        <w:t>The duties and powers of the Presidency are stated in the paragraph 10 of Article 5 of the Law Numbered 4628.</w:t>
      </w:r>
    </w:p>
    <w:p w:rsidR="002E3D3F" w:rsidRDefault="002E3D3F" w:rsidP="00B5324E">
      <w:pPr>
        <w:spacing w:after="120" w:line="240" w:lineRule="auto"/>
        <w:ind w:left="360"/>
        <w:jc w:val="both"/>
      </w:pPr>
    </w:p>
    <w:p w:rsidR="002E3D3F" w:rsidRPr="007E74CD" w:rsidRDefault="002E3D3F" w:rsidP="00E37E90">
      <w:pPr>
        <w:pStyle w:val="Balk3"/>
        <w:numPr>
          <w:ilvl w:val="2"/>
          <w:numId w:val="34"/>
        </w:numPr>
      </w:pPr>
      <w:bookmarkStart w:id="19" w:name="_Toc12956292"/>
      <w:r w:rsidRPr="007E74CD">
        <w:t>Service Units</w:t>
      </w:r>
      <w:bookmarkEnd w:id="19"/>
    </w:p>
    <w:p w:rsidR="002E3D3F" w:rsidRDefault="002E3D3F" w:rsidP="00B5324E">
      <w:pPr>
        <w:spacing w:after="120" w:line="240" w:lineRule="auto"/>
        <w:ind w:left="360"/>
        <w:jc w:val="both"/>
        <w:rPr>
          <w:b/>
        </w:rPr>
      </w:pPr>
    </w:p>
    <w:p w:rsidR="002E3D3F" w:rsidRPr="00822B0A" w:rsidRDefault="002E3D3F" w:rsidP="00B5324E">
      <w:pPr>
        <w:spacing w:after="120" w:line="240" w:lineRule="auto"/>
        <w:ind w:left="360"/>
        <w:jc w:val="both"/>
      </w:pPr>
      <w:r w:rsidRPr="00822B0A">
        <w:t xml:space="preserve">The service units of the Authority and the duties and responsibilities of the same, the titles and numbers of the cadres are </w:t>
      </w:r>
      <w:r>
        <w:t>set forth by the “Law on Organiz</w:t>
      </w:r>
      <w:r w:rsidRPr="00822B0A">
        <w:t xml:space="preserve">ation and Duties of the Energy Market Regulatory Authority No:4628” and ‘Regulation on the Organizational Structure of EMRA and the Working Principles and Procedures Applicable to its Employees’, published in the Official Gazette dated 18/05/2014 and numbered 29004. </w:t>
      </w:r>
    </w:p>
    <w:p w:rsidR="002E3D3F" w:rsidRPr="00822B0A" w:rsidRDefault="002E3D3F" w:rsidP="00B5324E">
      <w:pPr>
        <w:spacing w:after="120" w:line="240" w:lineRule="auto"/>
        <w:ind w:left="360"/>
        <w:jc w:val="both"/>
      </w:pPr>
      <w:r w:rsidRPr="00822B0A">
        <w:t>Hereunder are the service units as defined in the Law No:4628</w:t>
      </w:r>
      <w:r>
        <w:rPr>
          <w:vertAlign w:val="superscript"/>
        </w:rPr>
        <w:t>1</w:t>
      </w:r>
      <w:r w:rsidRPr="00822B0A">
        <w:t xml:space="preserve">;  </w:t>
      </w:r>
    </w:p>
    <w:p w:rsidR="002E3D3F" w:rsidRPr="00822B0A" w:rsidRDefault="002E3D3F" w:rsidP="00E37E90">
      <w:pPr>
        <w:pStyle w:val="ListeParagraf"/>
        <w:numPr>
          <w:ilvl w:val="0"/>
          <w:numId w:val="1"/>
        </w:numPr>
        <w:spacing w:after="120" w:line="240" w:lineRule="auto"/>
        <w:ind w:left="1080"/>
        <w:jc w:val="both"/>
      </w:pPr>
      <w:r w:rsidRPr="00822B0A">
        <w:t>Electricity Market Department</w:t>
      </w:r>
    </w:p>
    <w:p w:rsidR="002E3D3F" w:rsidRPr="00822B0A" w:rsidRDefault="002E3D3F" w:rsidP="00E37E90">
      <w:pPr>
        <w:pStyle w:val="ListeParagraf"/>
        <w:numPr>
          <w:ilvl w:val="0"/>
          <w:numId w:val="1"/>
        </w:numPr>
        <w:spacing w:after="120" w:line="240" w:lineRule="auto"/>
        <w:ind w:left="1080"/>
        <w:jc w:val="both"/>
      </w:pPr>
      <w:r w:rsidRPr="00822B0A">
        <w:t>Natural Gas Market Department</w:t>
      </w:r>
    </w:p>
    <w:p w:rsidR="002E3D3F" w:rsidRDefault="002E3D3F" w:rsidP="00E37E90">
      <w:pPr>
        <w:pStyle w:val="ListeParagraf"/>
        <w:numPr>
          <w:ilvl w:val="0"/>
          <w:numId w:val="1"/>
        </w:numPr>
        <w:spacing w:after="120" w:line="240" w:lineRule="auto"/>
        <w:ind w:left="1080"/>
        <w:jc w:val="both"/>
      </w:pPr>
      <w:r w:rsidRPr="00170556">
        <w:t>Petroleum Market Department</w:t>
      </w:r>
    </w:p>
    <w:p w:rsidR="002E3D3F" w:rsidRPr="00170556" w:rsidRDefault="002E3D3F" w:rsidP="00E37E90">
      <w:pPr>
        <w:pStyle w:val="ListeParagraf"/>
        <w:numPr>
          <w:ilvl w:val="0"/>
          <w:numId w:val="1"/>
        </w:numPr>
        <w:spacing w:after="120" w:line="240" w:lineRule="auto"/>
        <w:ind w:left="1080"/>
        <w:jc w:val="both"/>
      </w:pPr>
      <w:r w:rsidRPr="00170556">
        <w:t>Liquefied Petroleum Gases Market Department</w:t>
      </w:r>
    </w:p>
    <w:p w:rsidR="002E3D3F" w:rsidRPr="00822B0A" w:rsidRDefault="002E3D3F" w:rsidP="00E37E90">
      <w:pPr>
        <w:pStyle w:val="ListeParagraf"/>
        <w:numPr>
          <w:ilvl w:val="0"/>
          <w:numId w:val="1"/>
        </w:numPr>
        <w:spacing w:after="120" w:line="240" w:lineRule="auto"/>
        <w:ind w:left="1080"/>
        <w:jc w:val="both"/>
      </w:pPr>
      <w:r w:rsidRPr="00822B0A">
        <w:t>Tariffs Department</w:t>
      </w:r>
    </w:p>
    <w:p w:rsidR="002E3D3F" w:rsidRPr="00822B0A" w:rsidRDefault="002E3D3F" w:rsidP="00E37E90">
      <w:pPr>
        <w:pStyle w:val="ListeParagraf"/>
        <w:numPr>
          <w:ilvl w:val="0"/>
          <w:numId w:val="1"/>
        </w:numPr>
        <w:spacing w:after="120" w:line="240" w:lineRule="auto"/>
        <w:ind w:left="1080"/>
        <w:jc w:val="both"/>
      </w:pPr>
      <w:r w:rsidRPr="00822B0A">
        <w:t>Audit Department</w:t>
      </w:r>
    </w:p>
    <w:p w:rsidR="002E3D3F" w:rsidRPr="00822B0A" w:rsidRDefault="002E3D3F" w:rsidP="00E37E90">
      <w:pPr>
        <w:pStyle w:val="ListeParagraf"/>
        <w:numPr>
          <w:ilvl w:val="0"/>
          <w:numId w:val="1"/>
        </w:numPr>
        <w:spacing w:after="120" w:line="240" w:lineRule="auto"/>
        <w:ind w:left="1080"/>
        <w:jc w:val="both"/>
      </w:pPr>
      <w:r w:rsidRPr="00822B0A">
        <w:t>Expropriation Department</w:t>
      </w:r>
    </w:p>
    <w:p w:rsidR="002E3D3F" w:rsidRDefault="002E3D3F" w:rsidP="00E37E90">
      <w:pPr>
        <w:pStyle w:val="ListeParagraf"/>
        <w:numPr>
          <w:ilvl w:val="0"/>
          <w:numId w:val="1"/>
        </w:numPr>
        <w:spacing w:after="120" w:line="240" w:lineRule="auto"/>
        <w:ind w:left="1080"/>
        <w:jc w:val="both"/>
      </w:pPr>
      <w:r w:rsidRPr="00170556">
        <w:t>Legal Department</w:t>
      </w:r>
    </w:p>
    <w:p w:rsidR="002E3D3F" w:rsidRPr="00170556" w:rsidRDefault="002E3D3F" w:rsidP="00E37E90">
      <w:pPr>
        <w:pStyle w:val="ListeParagraf"/>
        <w:numPr>
          <w:ilvl w:val="0"/>
          <w:numId w:val="1"/>
        </w:numPr>
        <w:spacing w:after="120" w:line="240" w:lineRule="auto"/>
        <w:ind w:left="1080"/>
        <w:jc w:val="both"/>
      </w:pPr>
      <w:r w:rsidRPr="00170556">
        <w:t xml:space="preserve">Strategy Development Department </w:t>
      </w:r>
    </w:p>
    <w:p w:rsidR="002E3D3F" w:rsidRPr="00822B0A" w:rsidRDefault="002E3D3F" w:rsidP="00E37E90">
      <w:pPr>
        <w:pStyle w:val="ListeParagraf"/>
        <w:numPr>
          <w:ilvl w:val="0"/>
          <w:numId w:val="1"/>
        </w:numPr>
        <w:spacing w:after="120" w:line="240" w:lineRule="auto"/>
        <w:ind w:left="1080"/>
        <w:jc w:val="both"/>
      </w:pPr>
      <w:r w:rsidRPr="00822B0A">
        <w:t xml:space="preserve">Human Resources and Support Services Department </w:t>
      </w:r>
    </w:p>
    <w:p w:rsidR="002E3D3F" w:rsidRPr="00822B0A" w:rsidRDefault="002E3D3F" w:rsidP="00E37E90">
      <w:pPr>
        <w:pStyle w:val="ListeParagraf"/>
        <w:numPr>
          <w:ilvl w:val="0"/>
          <w:numId w:val="1"/>
        </w:numPr>
        <w:spacing w:after="120" w:line="240" w:lineRule="auto"/>
        <w:ind w:left="1080"/>
        <w:jc w:val="both"/>
      </w:pPr>
      <w:r w:rsidRPr="00822B0A">
        <w:t xml:space="preserve">Office of Press and Public Relations Counsellor </w:t>
      </w:r>
    </w:p>
    <w:p w:rsidR="002E3D3F" w:rsidRPr="00822B0A" w:rsidRDefault="002E3D3F" w:rsidP="00E37E90">
      <w:pPr>
        <w:pStyle w:val="ListeParagraf"/>
        <w:numPr>
          <w:ilvl w:val="0"/>
          <w:numId w:val="1"/>
        </w:numPr>
        <w:spacing w:after="120" w:line="240" w:lineRule="auto"/>
        <w:ind w:left="1080"/>
        <w:jc w:val="both"/>
      </w:pPr>
      <w:r w:rsidRPr="00822B0A">
        <w:t xml:space="preserve">Special Bureau for the Board </w:t>
      </w:r>
    </w:p>
    <w:p w:rsidR="002E3D3F" w:rsidRPr="00822B0A" w:rsidRDefault="002E3D3F" w:rsidP="00E37E90">
      <w:pPr>
        <w:pStyle w:val="ListeParagraf"/>
        <w:numPr>
          <w:ilvl w:val="0"/>
          <w:numId w:val="1"/>
        </w:numPr>
        <w:spacing w:after="120" w:line="240" w:lineRule="auto"/>
        <w:ind w:left="1080"/>
        <w:jc w:val="both"/>
      </w:pPr>
      <w:r w:rsidRPr="00822B0A">
        <w:t xml:space="preserve">Special Bureau for the President </w:t>
      </w:r>
    </w:p>
    <w:p w:rsidR="001137DC" w:rsidRDefault="001137DC" w:rsidP="00B5324E">
      <w:pPr>
        <w:spacing w:after="120" w:line="240" w:lineRule="auto"/>
        <w:ind w:left="360"/>
        <w:jc w:val="both"/>
        <w:rPr>
          <w:b/>
        </w:rPr>
      </w:pPr>
    </w:p>
    <w:p w:rsidR="001137DC" w:rsidRPr="001137DC" w:rsidRDefault="001137DC" w:rsidP="00B5324E">
      <w:pPr>
        <w:spacing w:line="240" w:lineRule="auto"/>
      </w:pPr>
    </w:p>
    <w:p w:rsidR="001137DC" w:rsidRPr="001137DC" w:rsidRDefault="001137DC" w:rsidP="00B5324E">
      <w:pPr>
        <w:spacing w:line="240" w:lineRule="auto"/>
      </w:pPr>
    </w:p>
    <w:p w:rsidR="001137DC" w:rsidRPr="001137DC" w:rsidRDefault="001137DC" w:rsidP="00B5324E">
      <w:pPr>
        <w:spacing w:line="240" w:lineRule="auto"/>
      </w:pPr>
    </w:p>
    <w:p w:rsidR="001137DC" w:rsidRDefault="001137DC" w:rsidP="00B5324E">
      <w:pPr>
        <w:tabs>
          <w:tab w:val="left" w:pos="2612"/>
        </w:tabs>
        <w:spacing w:line="240" w:lineRule="auto"/>
      </w:pPr>
      <w:r>
        <w:tab/>
      </w:r>
    </w:p>
    <w:p w:rsidR="003F573B" w:rsidRDefault="001137DC" w:rsidP="00B5324E">
      <w:pPr>
        <w:tabs>
          <w:tab w:val="left" w:pos="2612"/>
        </w:tabs>
        <w:spacing w:line="240" w:lineRule="auto"/>
      </w:pPr>
      <w:r>
        <w:tab/>
      </w:r>
    </w:p>
    <w:p w:rsidR="003F573B" w:rsidRPr="003F573B" w:rsidRDefault="003F573B" w:rsidP="00B5324E">
      <w:pPr>
        <w:spacing w:line="240" w:lineRule="auto"/>
      </w:pPr>
    </w:p>
    <w:p w:rsidR="003F573B" w:rsidRPr="003F573B" w:rsidRDefault="003F573B" w:rsidP="00B5324E">
      <w:pPr>
        <w:spacing w:line="240" w:lineRule="auto"/>
      </w:pPr>
    </w:p>
    <w:p w:rsidR="003F573B" w:rsidRPr="003F573B" w:rsidRDefault="003F573B" w:rsidP="00B5324E">
      <w:pPr>
        <w:spacing w:line="240" w:lineRule="auto"/>
      </w:pPr>
    </w:p>
    <w:p w:rsidR="003F573B" w:rsidRPr="003F573B" w:rsidRDefault="003F573B" w:rsidP="00B5324E">
      <w:pPr>
        <w:spacing w:line="240" w:lineRule="auto"/>
      </w:pPr>
    </w:p>
    <w:p w:rsidR="003F573B" w:rsidRPr="003F573B" w:rsidRDefault="003F573B" w:rsidP="00B5324E">
      <w:pPr>
        <w:spacing w:line="240" w:lineRule="auto"/>
      </w:pPr>
    </w:p>
    <w:p w:rsidR="003F573B" w:rsidRPr="003F573B" w:rsidRDefault="003F573B" w:rsidP="00B5324E">
      <w:pPr>
        <w:spacing w:line="240" w:lineRule="auto"/>
      </w:pPr>
    </w:p>
    <w:p w:rsidR="003F573B" w:rsidRDefault="003F573B" w:rsidP="00B5324E">
      <w:pPr>
        <w:spacing w:line="240" w:lineRule="auto"/>
      </w:pPr>
    </w:p>
    <w:p w:rsidR="003F573B" w:rsidRDefault="003F573B" w:rsidP="00B5324E">
      <w:pPr>
        <w:tabs>
          <w:tab w:val="left" w:pos="2813"/>
        </w:tabs>
        <w:spacing w:line="240" w:lineRule="auto"/>
      </w:pPr>
      <w:r>
        <w:tab/>
      </w:r>
    </w:p>
    <w:p w:rsidR="00E53D55" w:rsidRDefault="003F573B" w:rsidP="00B5324E">
      <w:pPr>
        <w:tabs>
          <w:tab w:val="left" w:pos="2813"/>
        </w:tabs>
        <w:spacing w:line="240" w:lineRule="auto"/>
      </w:pPr>
      <w:r>
        <w:tab/>
      </w:r>
    </w:p>
    <w:p w:rsidR="00E55E97" w:rsidRDefault="00B9432D" w:rsidP="00B9432D">
      <w:pPr>
        <w:tabs>
          <w:tab w:val="left" w:pos="4184"/>
        </w:tabs>
        <w:spacing w:line="240" w:lineRule="auto"/>
        <w:jc w:val="both"/>
      </w:pPr>
      <w:r w:rsidRPr="00B9432D">
        <w:t>A new clasue was added to the Article 29 of the Law No. 7164 on the Amendment to the Mining Law and Certain Laws and Decree Laws published in the Official Gazette dated 28.02.2019 and numbered 30700 and to the Article 9 of the Law No. 4628 on the Organization and Duties of the Energy Market Regulatory Authority and IT Department was established.</w:t>
      </w:r>
    </w:p>
    <w:p w:rsidR="00E53D55" w:rsidRPr="00E53D55" w:rsidRDefault="00E53D55" w:rsidP="00B5324E">
      <w:pPr>
        <w:spacing w:line="240" w:lineRule="auto"/>
      </w:pPr>
    </w:p>
    <w:p w:rsidR="00E53D55" w:rsidRDefault="00E53D55" w:rsidP="00B5324E">
      <w:pPr>
        <w:spacing w:line="240" w:lineRule="auto"/>
      </w:pPr>
    </w:p>
    <w:p w:rsidR="00E53D55" w:rsidRDefault="00E53D55" w:rsidP="00B5324E">
      <w:pPr>
        <w:spacing w:line="240" w:lineRule="auto"/>
      </w:pPr>
    </w:p>
    <w:p w:rsidR="00E53D55" w:rsidRDefault="00E53D55" w:rsidP="00B5324E">
      <w:pPr>
        <w:tabs>
          <w:tab w:val="center" w:pos="4703"/>
        </w:tabs>
        <w:spacing w:line="240" w:lineRule="auto"/>
      </w:pPr>
      <w:r>
        <w:tab/>
      </w:r>
    </w:p>
    <w:p w:rsidR="00E53D55" w:rsidRPr="00E53D55" w:rsidRDefault="00E53D55" w:rsidP="00B5324E">
      <w:pPr>
        <w:spacing w:line="240" w:lineRule="auto"/>
      </w:pPr>
    </w:p>
    <w:p w:rsidR="00E53D55" w:rsidRPr="00E53D55" w:rsidRDefault="00E53D55" w:rsidP="00B5324E">
      <w:pPr>
        <w:spacing w:line="240" w:lineRule="auto"/>
      </w:pPr>
    </w:p>
    <w:p w:rsidR="00E53D55" w:rsidRPr="00E53D55" w:rsidRDefault="00E53D55" w:rsidP="00B5324E">
      <w:pPr>
        <w:spacing w:line="240" w:lineRule="auto"/>
      </w:pPr>
    </w:p>
    <w:p w:rsidR="00E53D55" w:rsidRPr="00E53D55" w:rsidRDefault="00E53D55" w:rsidP="00B5324E">
      <w:pPr>
        <w:spacing w:line="240" w:lineRule="auto"/>
      </w:pPr>
    </w:p>
    <w:p w:rsidR="00E53D55" w:rsidRPr="00E53D55" w:rsidRDefault="00E53D55" w:rsidP="00B5324E">
      <w:pPr>
        <w:spacing w:line="240" w:lineRule="auto"/>
      </w:pPr>
    </w:p>
    <w:p w:rsidR="00E53D55" w:rsidRDefault="00E53D55" w:rsidP="00B5324E">
      <w:pPr>
        <w:spacing w:line="240" w:lineRule="auto"/>
      </w:pPr>
    </w:p>
    <w:p w:rsidR="00E53D55" w:rsidRDefault="00E53D55" w:rsidP="00B5324E">
      <w:pPr>
        <w:tabs>
          <w:tab w:val="left" w:pos="3029"/>
        </w:tabs>
        <w:spacing w:line="240" w:lineRule="auto"/>
      </w:pPr>
      <w:r>
        <w:tab/>
      </w:r>
    </w:p>
    <w:p w:rsidR="00486920" w:rsidRPr="00E53D55" w:rsidRDefault="00E53D55" w:rsidP="00B5324E">
      <w:pPr>
        <w:tabs>
          <w:tab w:val="left" w:pos="3029"/>
        </w:tabs>
        <w:spacing w:line="240" w:lineRule="auto"/>
        <w:sectPr w:rsidR="00486920" w:rsidRPr="00E53D55" w:rsidSect="00417758">
          <w:pgSz w:w="12240" w:h="15840"/>
          <w:pgMar w:top="1417" w:right="1417" w:bottom="1417" w:left="1417" w:header="708" w:footer="708" w:gutter="0"/>
          <w:pgNumType w:start="1"/>
          <w:cols w:space="708"/>
          <w:titlePg/>
          <w:docGrid w:linePitch="360"/>
        </w:sectPr>
      </w:pPr>
      <w:r>
        <w:tab/>
      </w:r>
    </w:p>
    <w:p w:rsidR="001137DC" w:rsidRDefault="00486920" w:rsidP="00B5324E">
      <w:pPr>
        <w:spacing w:after="120" w:line="240" w:lineRule="auto"/>
        <w:jc w:val="both"/>
        <w:rPr>
          <w:rFonts w:eastAsia="Calibri" w:cs="Times New Roman"/>
          <w:lang w:val="tr-TR"/>
        </w:rPr>
        <w:sectPr w:rsidR="001137DC" w:rsidSect="003F573B">
          <w:footerReference w:type="default" r:id="rId13"/>
          <w:pgSz w:w="15840" w:h="12240" w:orient="landscape"/>
          <w:pgMar w:top="1417" w:right="1417" w:bottom="1417" w:left="1417" w:header="708" w:footer="708" w:gutter="0"/>
          <w:pgNumType w:start="0"/>
          <w:cols w:space="708"/>
          <w:docGrid w:linePitch="360"/>
        </w:sectPr>
      </w:pPr>
      <w:r>
        <w:rPr>
          <w:rFonts w:eastAsia="Calibri" w:cs="Times New Roman"/>
          <w:lang w:val="tr-TR"/>
        </w:rPr>
        <w:object w:dxaOrig="13200" w:dyaOrig="93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0pt;height:465.6pt" o:ole="">
            <v:imagedata r:id="rId14" o:title=""/>
          </v:shape>
          <o:OLEObject Type="Embed" ProgID="AcroExch.Document.11" ShapeID="_x0000_i1025" DrawAspect="Content" ObjectID="_1625488207" r:id="rId15"/>
        </w:object>
      </w:r>
    </w:p>
    <w:p w:rsidR="002E3D3F" w:rsidRPr="007E74CD" w:rsidRDefault="00E739E4" w:rsidP="00E37E90">
      <w:pPr>
        <w:pStyle w:val="Balk2"/>
        <w:numPr>
          <w:ilvl w:val="1"/>
          <w:numId w:val="34"/>
        </w:numPr>
      </w:pPr>
      <w:bookmarkStart w:id="20" w:name="_Toc12956293"/>
      <w:r w:rsidRPr="007E74CD">
        <w:t>Auditing of the Activities of the Authority</w:t>
      </w:r>
      <w:bookmarkEnd w:id="20"/>
    </w:p>
    <w:p w:rsidR="00E739E4" w:rsidRDefault="00E739E4" w:rsidP="00B5324E">
      <w:pPr>
        <w:spacing w:after="120" w:line="240" w:lineRule="auto"/>
        <w:ind w:left="360"/>
        <w:jc w:val="both"/>
      </w:pPr>
      <w:r>
        <w:t xml:space="preserve">The Authority is subject to only the Articles of 3, 7, 8, 12, 15, 17, 18, 19, 25, 43, 47, 48, 49, 50, 51, 52, 53, 54Au, 68 and 76 of the Public Finance Management and Control Law No:5018.  Within that scope, the external audits of the Authority are made by the Supreme Court of Accounts as per the Article 68 of the Law No:5018. </w:t>
      </w:r>
    </w:p>
    <w:p w:rsidR="00E739E4" w:rsidRDefault="00E739E4" w:rsidP="00B5324E">
      <w:pPr>
        <w:spacing w:after="120" w:line="240" w:lineRule="auto"/>
        <w:ind w:left="360"/>
        <w:jc w:val="both"/>
      </w:pPr>
      <w:r>
        <w:t xml:space="preserve">The aim of the ex-post external audit made by the Supreme Court of Accounts is, to examine the financial activities, decisions and transactions of the institution with regard to their compliance with laws, institutional objectives and plans and reporting the results to the Turkish Grand National Assembly. </w:t>
      </w:r>
    </w:p>
    <w:p w:rsidR="00E739E4" w:rsidRDefault="00E739E4" w:rsidP="00B5324E">
      <w:pPr>
        <w:spacing w:after="120" w:line="240" w:lineRule="auto"/>
        <w:ind w:left="360"/>
        <w:jc w:val="both"/>
      </w:pPr>
      <w:r>
        <w:t xml:space="preserve">On the other hand, as per the Article 19/A of the Law No:2046 amended by the Article 45 of the Executive Order No:649 published in the Official Gazette dated 17/08/2011 and numbered 28028, The Minister is entitled to audit all activities and transactions of the Authority. </w:t>
      </w:r>
    </w:p>
    <w:p w:rsidR="00E739E4" w:rsidRDefault="00E739E4" w:rsidP="00B5324E">
      <w:pPr>
        <w:spacing w:after="120" w:line="240" w:lineRule="auto"/>
        <w:ind w:left="360"/>
        <w:jc w:val="both"/>
      </w:pPr>
      <w:r>
        <w:t xml:space="preserve">Beside, in case an application is filed, the Authority can be audited by the State Supervisory Council and Prime Ministry Inspection Board. </w:t>
      </w:r>
    </w:p>
    <w:p w:rsidR="002863D2" w:rsidRDefault="002863D2" w:rsidP="00B5324E">
      <w:pPr>
        <w:spacing w:after="120" w:line="240" w:lineRule="auto"/>
        <w:ind w:left="360"/>
        <w:jc w:val="both"/>
        <w:rPr>
          <w:b/>
        </w:rPr>
      </w:pPr>
    </w:p>
    <w:p w:rsidR="002863D2" w:rsidRDefault="002863D2" w:rsidP="00B5324E">
      <w:pPr>
        <w:spacing w:line="240" w:lineRule="auto"/>
        <w:rPr>
          <w:b/>
        </w:rPr>
      </w:pPr>
      <w:r>
        <w:rPr>
          <w:b/>
        </w:rPr>
        <w:br w:type="page"/>
      </w:r>
    </w:p>
    <w:p w:rsidR="00E739E4" w:rsidRPr="001857CB" w:rsidRDefault="002863D2" w:rsidP="008531CD">
      <w:pPr>
        <w:pStyle w:val="Balk1"/>
      </w:pPr>
      <w:bookmarkStart w:id="21" w:name="_Toc12956294"/>
      <w:r w:rsidRPr="001857CB">
        <w:t>2. LEGISLATION ACTIVITIES</w:t>
      </w:r>
      <w:bookmarkEnd w:id="21"/>
    </w:p>
    <w:p w:rsidR="002863D2" w:rsidRPr="001857CB" w:rsidRDefault="002863D2" w:rsidP="00B5324E">
      <w:pPr>
        <w:spacing w:after="120" w:line="240" w:lineRule="auto"/>
        <w:jc w:val="both"/>
      </w:pPr>
      <w:r w:rsidRPr="001857CB">
        <w:t xml:space="preserve">In this section, the legislation activities in 2018 regarding the Electricity, Natural Gas, Petroleum and LPG markets are explained.  </w:t>
      </w:r>
    </w:p>
    <w:p w:rsidR="002863D2" w:rsidRPr="008531CD" w:rsidRDefault="002863D2" w:rsidP="008531CD">
      <w:pPr>
        <w:pStyle w:val="Balk2"/>
      </w:pPr>
      <w:bookmarkStart w:id="22" w:name="_Toc12956295"/>
      <w:r w:rsidRPr="008531CD">
        <w:t>2.1. Electricity Market Legislation</w:t>
      </w:r>
      <w:bookmarkEnd w:id="22"/>
    </w:p>
    <w:p w:rsidR="002863D2" w:rsidRPr="008531CD" w:rsidRDefault="002863D2" w:rsidP="008531CD">
      <w:pPr>
        <w:pStyle w:val="Balk3"/>
      </w:pPr>
      <w:bookmarkStart w:id="23" w:name="_Toc12956296"/>
      <w:r w:rsidRPr="008531CD">
        <w:t>2.1.1. Law</w:t>
      </w:r>
      <w:bookmarkEnd w:id="23"/>
    </w:p>
    <w:p w:rsidR="00D54600" w:rsidRPr="001857CB" w:rsidRDefault="00D54600" w:rsidP="00B5324E">
      <w:pPr>
        <w:spacing w:after="120" w:line="240" w:lineRule="auto"/>
        <w:jc w:val="both"/>
        <w:rPr>
          <w:lang w:eastAsia="tr-TR"/>
        </w:rPr>
      </w:pPr>
      <w:r w:rsidRPr="001857CB">
        <w:rPr>
          <w:lang w:eastAsia="tr-TR"/>
        </w:rPr>
        <w:t xml:space="preserve">In 2017, the following amendments were made in the Electricity Market Law No:6446;  </w:t>
      </w:r>
    </w:p>
    <w:p w:rsidR="001857CB" w:rsidRDefault="001857CB" w:rsidP="00E37E90">
      <w:pPr>
        <w:pStyle w:val="ortabalkbold"/>
        <w:numPr>
          <w:ilvl w:val="0"/>
          <w:numId w:val="2"/>
        </w:numPr>
        <w:spacing w:before="0" w:beforeAutospacing="0" w:after="120" w:afterAutospacing="0"/>
        <w:jc w:val="both"/>
        <w:rPr>
          <w:rFonts w:asciiTheme="minorHAnsi" w:hAnsiTheme="minorHAnsi"/>
          <w:sz w:val="22"/>
          <w:szCs w:val="22"/>
          <w:lang w:val="en-US"/>
        </w:rPr>
      </w:pPr>
      <w:r w:rsidRPr="001857CB">
        <w:rPr>
          <w:rFonts w:asciiTheme="minorHAnsi" w:hAnsiTheme="minorHAnsi"/>
          <w:sz w:val="22"/>
          <w:szCs w:val="22"/>
          <w:lang w:val="en-US"/>
        </w:rPr>
        <w:t>Article 83 of the Law on Amendment of Tax Laws and Tax Laws No. 7103 and Some Laws and Decree Laws dated 21.03.2018 and published in the Official Gazette dated 27.03.2018 an</w:t>
      </w:r>
      <w:r w:rsidR="00E55E97">
        <w:rPr>
          <w:rFonts w:asciiTheme="minorHAnsi" w:hAnsiTheme="minorHAnsi"/>
          <w:sz w:val="22"/>
          <w:szCs w:val="22"/>
          <w:lang w:val="en-US"/>
        </w:rPr>
        <w:t>d bis numbered 30373</w:t>
      </w:r>
      <w:r w:rsidRPr="001857CB">
        <w:rPr>
          <w:rFonts w:asciiTheme="minorHAnsi" w:hAnsiTheme="minorHAnsi"/>
          <w:sz w:val="22"/>
          <w:szCs w:val="22"/>
          <w:lang w:val="en-US"/>
        </w:rPr>
        <w:t xml:space="preserve"> and 83 Market Operation activity and establishment of EPİAŞ on Article 11 is amended as follows.</w:t>
      </w:r>
    </w:p>
    <w:p w:rsidR="001857CB" w:rsidRPr="00922E12" w:rsidRDefault="001857CB" w:rsidP="00B5324E">
      <w:pPr>
        <w:pStyle w:val="ortabalkbold"/>
        <w:spacing w:before="0" w:beforeAutospacing="0" w:after="120" w:afterAutospacing="0"/>
        <w:ind w:left="1440"/>
        <w:jc w:val="both"/>
        <w:rPr>
          <w:rFonts w:asciiTheme="minorHAnsi" w:hAnsiTheme="minorHAnsi"/>
          <w:i/>
          <w:sz w:val="22"/>
          <w:szCs w:val="22"/>
          <w:lang w:val="en-US"/>
        </w:rPr>
      </w:pPr>
      <w:r w:rsidRPr="00922E12">
        <w:rPr>
          <w:rFonts w:asciiTheme="minorHAnsi" w:hAnsiTheme="minorHAnsi"/>
          <w:i/>
          <w:sz w:val="22"/>
          <w:szCs w:val="22"/>
          <w:lang w:val="en-US"/>
        </w:rPr>
        <w:t>“(11</w:t>
      </w:r>
      <w:r w:rsidR="00983C78" w:rsidRPr="00922E12">
        <w:rPr>
          <w:rFonts w:asciiTheme="minorHAnsi" w:hAnsiTheme="minorHAnsi"/>
          <w:i/>
          <w:sz w:val="22"/>
          <w:szCs w:val="22"/>
          <w:lang w:val="en-US"/>
        </w:rPr>
        <w:t>) The papers issued in the organized wholesale electricity markets within the scope of this Law and other energy markets transactions including natural gas included in the field of activity of EPİAŞ within the scope of the eighth paragraph of this article and the transactions made within the body of EPİAŞ and / or its affiliates regarding emission trade are exempt from stamp duty.”</w:t>
      </w:r>
    </w:p>
    <w:p w:rsidR="00983C78" w:rsidRPr="00922E12" w:rsidRDefault="00983C78" w:rsidP="00B5324E">
      <w:pPr>
        <w:pStyle w:val="ortabalkbold"/>
        <w:spacing w:before="0" w:beforeAutospacing="0" w:after="120" w:afterAutospacing="0"/>
        <w:ind w:left="1440"/>
        <w:jc w:val="both"/>
        <w:rPr>
          <w:rFonts w:asciiTheme="minorHAnsi" w:hAnsiTheme="minorHAnsi"/>
          <w:i/>
          <w:sz w:val="22"/>
          <w:szCs w:val="22"/>
          <w:lang w:val="en-US"/>
        </w:rPr>
      </w:pPr>
      <w:r w:rsidRPr="00922E12">
        <w:rPr>
          <w:rFonts w:asciiTheme="minorHAnsi" w:hAnsiTheme="minorHAnsi"/>
          <w:i/>
          <w:sz w:val="22"/>
          <w:szCs w:val="22"/>
          <w:lang w:val="en-US"/>
        </w:rPr>
        <w:t xml:space="preserve">The following paragraph </w:t>
      </w:r>
      <w:r w:rsidR="00E55E97">
        <w:rPr>
          <w:rFonts w:asciiTheme="minorHAnsi" w:hAnsiTheme="minorHAnsi"/>
          <w:i/>
          <w:sz w:val="22"/>
          <w:szCs w:val="22"/>
          <w:lang w:val="en-US"/>
        </w:rPr>
        <w:t xml:space="preserve">was </w:t>
      </w:r>
      <w:r w:rsidRPr="00922E12">
        <w:rPr>
          <w:rFonts w:asciiTheme="minorHAnsi" w:hAnsiTheme="minorHAnsi"/>
          <w:i/>
          <w:sz w:val="22"/>
          <w:szCs w:val="22"/>
          <w:lang w:val="en-US"/>
        </w:rPr>
        <w:t>added to the first paragraph of Article 84 of the same Law and Article 14 of the Law no 6446:</w:t>
      </w:r>
    </w:p>
    <w:p w:rsidR="00983C78" w:rsidRPr="00922E12" w:rsidRDefault="00983C78" w:rsidP="00B5324E">
      <w:pPr>
        <w:pStyle w:val="ortabalkbold"/>
        <w:spacing w:before="0" w:beforeAutospacing="0" w:after="120" w:afterAutospacing="0"/>
        <w:ind w:left="1440"/>
        <w:jc w:val="both"/>
        <w:rPr>
          <w:rFonts w:asciiTheme="minorHAnsi" w:hAnsiTheme="minorHAnsi"/>
          <w:i/>
          <w:sz w:val="22"/>
          <w:szCs w:val="22"/>
          <w:lang w:val="en-US"/>
        </w:rPr>
      </w:pPr>
      <w:r w:rsidRPr="00922E12">
        <w:rPr>
          <w:rFonts w:asciiTheme="minorHAnsi" w:hAnsiTheme="minorHAnsi"/>
          <w:i/>
          <w:sz w:val="22"/>
          <w:szCs w:val="22"/>
          <w:lang w:val="en-US"/>
        </w:rPr>
        <w:t>“(e) Market activities carried out within the scope of electricity storage and demand side participation within the limits and procedures and principles to be determined by the Board upon the opinion of the Ministry”</w:t>
      </w:r>
    </w:p>
    <w:p w:rsidR="00983C78" w:rsidRPr="00922E12" w:rsidRDefault="00983C78" w:rsidP="00B5324E">
      <w:pPr>
        <w:pStyle w:val="ortabalkbold"/>
        <w:spacing w:before="0" w:beforeAutospacing="0" w:after="120" w:afterAutospacing="0"/>
        <w:ind w:left="1440"/>
        <w:jc w:val="both"/>
        <w:rPr>
          <w:rFonts w:asciiTheme="minorHAnsi" w:hAnsiTheme="minorHAnsi"/>
          <w:i/>
          <w:sz w:val="22"/>
          <w:szCs w:val="22"/>
          <w:lang w:val="en-US"/>
        </w:rPr>
      </w:pPr>
      <w:r w:rsidRPr="00922E12">
        <w:rPr>
          <w:rFonts w:asciiTheme="minorHAnsi" w:hAnsiTheme="minorHAnsi"/>
          <w:i/>
          <w:sz w:val="22"/>
          <w:szCs w:val="22"/>
          <w:lang w:val="en-US"/>
        </w:rPr>
        <w:t xml:space="preserve">The following paragraph </w:t>
      </w:r>
      <w:r w:rsidR="00E55E97">
        <w:rPr>
          <w:rFonts w:asciiTheme="minorHAnsi" w:hAnsiTheme="minorHAnsi"/>
          <w:i/>
          <w:sz w:val="22"/>
          <w:szCs w:val="22"/>
          <w:lang w:val="en-US"/>
        </w:rPr>
        <w:t xml:space="preserve">was </w:t>
      </w:r>
      <w:r w:rsidRPr="00922E12">
        <w:rPr>
          <w:rFonts w:asciiTheme="minorHAnsi" w:hAnsiTheme="minorHAnsi"/>
          <w:i/>
          <w:sz w:val="22"/>
          <w:szCs w:val="22"/>
          <w:lang w:val="en-US"/>
        </w:rPr>
        <w:t>added to Article 85 of the same Law and provisional Article 4 of Law no 6446:</w:t>
      </w:r>
    </w:p>
    <w:p w:rsidR="00983C78" w:rsidRPr="00922E12" w:rsidRDefault="00D02216" w:rsidP="00B5324E">
      <w:pPr>
        <w:pStyle w:val="ortabalkbold"/>
        <w:spacing w:before="0" w:beforeAutospacing="0" w:after="120" w:afterAutospacing="0"/>
        <w:ind w:left="1440"/>
        <w:jc w:val="both"/>
        <w:rPr>
          <w:rFonts w:asciiTheme="minorHAnsi" w:hAnsiTheme="minorHAnsi"/>
          <w:i/>
          <w:sz w:val="22"/>
          <w:szCs w:val="22"/>
          <w:lang w:val="en-US"/>
        </w:rPr>
      </w:pPr>
      <w:r w:rsidRPr="00922E12">
        <w:rPr>
          <w:rFonts w:asciiTheme="minorHAnsi" w:hAnsiTheme="minorHAnsi"/>
          <w:i/>
          <w:sz w:val="22"/>
          <w:szCs w:val="22"/>
          <w:lang w:val="en-US"/>
        </w:rPr>
        <w:t>“(5) Th</w:t>
      </w:r>
      <w:r w:rsidR="00E55E97">
        <w:rPr>
          <w:rFonts w:asciiTheme="minorHAnsi" w:hAnsiTheme="minorHAnsi"/>
          <w:i/>
          <w:sz w:val="22"/>
          <w:szCs w:val="22"/>
          <w:lang w:val="en-US"/>
        </w:rPr>
        <w:t>e transactions made by pre-licensed</w:t>
      </w:r>
      <w:r w:rsidRPr="00922E12">
        <w:rPr>
          <w:rFonts w:asciiTheme="minorHAnsi" w:hAnsiTheme="minorHAnsi"/>
          <w:i/>
          <w:sz w:val="22"/>
          <w:szCs w:val="22"/>
          <w:lang w:val="en-US"/>
        </w:rPr>
        <w:t xml:space="preserve"> legal entities regarding </w:t>
      </w:r>
      <w:r w:rsidR="00E55E97">
        <w:rPr>
          <w:rFonts w:asciiTheme="minorHAnsi" w:hAnsiTheme="minorHAnsi"/>
          <w:i/>
          <w:sz w:val="22"/>
          <w:szCs w:val="22"/>
          <w:lang w:val="en-US"/>
        </w:rPr>
        <w:t xml:space="preserve">generation </w:t>
      </w:r>
      <w:r w:rsidRPr="00922E12">
        <w:rPr>
          <w:rFonts w:asciiTheme="minorHAnsi" w:hAnsiTheme="minorHAnsi"/>
          <w:i/>
          <w:sz w:val="22"/>
          <w:szCs w:val="22"/>
          <w:lang w:val="en-US"/>
        </w:rPr>
        <w:t>facilities to be establ</w:t>
      </w:r>
      <w:r w:rsidR="00E55E97">
        <w:rPr>
          <w:rFonts w:asciiTheme="minorHAnsi" w:hAnsiTheme="minorHAnsi"/>
          <w:i/>
          <w:sz w:val="22"/>
          <w:szCs w:val="22"/>
          <w:lang w:val="en-US"/>
        </w:rPr>
        <w:t>ished within the scope of the pre-</w:t>
      </w:r>
      <w:r w:rsidRPr="00922E12">
        <w:rPr>
          <w:rFonts w:asciiTheme="minorHAnsi" w:hAnsiTheme="minorHAnsi"/>
          <w:i/>
          <w:sz w:val="22"/>
          <w:szCs w:val="22"/>
          <w:lang w:val="en-US"/>
        </w:rPr>
        <w:t xml:space="preserve">license within the </w:t>
      </w:r>
      <w:r w:rsidR="00E55E97">
        <w:rPr>
          <w:rFonts w:asciiTheme="minorHAnsi" w:hAnsiTheme="minorHAnsi"/>
          <w:i/>
          <w:sz w:val="22"/>
          <w:szCs w:val="22"/>
          <w:lang w:val="en-US"/>
        </w:rPr>
        <w:t>validity period of the pre-lisence</w:t>
      </w:r>
      <w:r w:rsidRPr="00922E12">
        <w:rPr>
          <w:rFonts w:asciiTheme="minorHAnsi" w:hAnsiTheme="minorHAnsi"/>
          <w:i/>
          <w:sz w:val="22"/>
          <w:szCs w:val="22"/>
          <w:lang w:val="en-US"/>
        </w:rPr>
        <w:t xml:space="preserve"> shall be exempt from the duty and stamp duty related to these transactions to be applied until the date specified in the first paragraph.”</w:t>
      </w:r>
    </w:p>
    <w:p w:rsidR="007814C9" w:rsidRDefault="007814C9" w:rsidP="00B5324E">
      <w:pPr>
        <w:pStyle w:val="ortabalkbold"/>
        <w:spacing w:before="0" w:beforeAutospacing="0" w:after="120" w:afterAutospacing="0"/>
        <w:ind w:left="1440"/>
        <w:jc w:val="both"/>
        <w:rPr>
          <w:rFonts w:asciiTheme="minorHAnsi" w:hAnsiTheme="minorHAnsi"/>
          <w:sz w:val="22"/>
          <w:szCs w:val="22"/>
          <w:lang w:val="en-US"/>
        </w:rPr>
      </w:pPr>
    </w:p>
    <w:p w:rsidR="00D02216" w:rsidRDefault="007814C9" w:rsidP="00E37E90">
      <w:pPr>
        <w:pStyle w:val="ListeParagraf"/>
        <w:numPr>
          <w:ilvl w:val="0"/>
          <w:numId w:val="2"/>
        </w:numPr>
        <w:spacing w:after="120" w:line="240" w:lineRule="auto"/>
        <w:jc w:val="both"/>
      </w:pPr>
      <w:r w:rsidRPr="007814C9">
        <w:t>Article 56 of the Law on the Organization and Duties of the General Directorate of State Hydraulic Works and the Law on the Organization and Duties of the Ministry of Food, Agriculture and Livestock and Law No. 7139 of 19.04.2018 published in the Official Gazette dated 30.04.2018 and numbered 30405 and the following paragraph has been added to the first paragraph</w:t>
      </w:r>
      <w:r>
        <w:t xml:space="preserve"> titled </w:t>
      </w:r>
      <w:r w:rsidRPr="007814C9">
        <w:t xml:space="preserve">“Activities that do not have to obtain a license and establish a company are as follows” of Article 14 </w:t>
      </w:r>
      <w:r>
        <w:t xml:space="preserve">that titled “Unlicensed Activities” </w:t>
      </w:r>
      <w:r w:rsidRPr="007814C9">
        <w:t>of the Electricity Market Law No. 6446:</w:t>
      </w:r>
    </w:p>
    <w:p w:rsidR="00FD7987" w:rsidRDefault="00FD7987" w:rsidP="00B5324E">
      <w:pPr>
        <w:spacing w:after="120" w:line="240" w:lineRule="auto"/>
        <w:ind w:left="1440"/>
        <w:jc w:val="both"/>
      </w:pPr>
    </w:p>
    <w:p w:rsidR="00922E12" w:rsidRPr="00922E12" w:rsidRDefault="00922E12" w:rsidP="00B5324E">
      <w:pPr>
        <w:spacing w:after="120" w:line="240" w:lineRule="auto"/>
        <w:ind w:left="1440"/>
        <w:jc w:val="both"/>
        <w:rPr>
          <w:i/>
        </w:rPr>
      </w:pPr>
      <w:r w:rsidRPr="00922E12">
        <w:rPr>
          <w:i/>
        </w:rPr>
        <w:t>"f) In order to meet the electricity needs of agricultural irrigation facilities belonging to the General Directorate of State Hydraulic Works of the subscription of electricity, renewable power is established and operated by the General Directorate of State Hydraulic Works, provided production facility based on energy resources ”</w:t>
      </w:r>
    </w:p>
    <w:p w:rsidR="00922E12" w:rsidRPr="00D975EB" w:rsidRDefault="00922E12" w:rsidP="00E37E90">
      <w:pPr>
        <w:pStyle w:val="ortabalkbold"/>
        <w:numPr>
          <w:ilvl w:val="0"/>
          <w:numId w:val="2"/>
        </w:numPr>
        <w:jc w:val="both"/>
        <w:rPr>
          <w:rFonts w:asciiTheme="minorHAnsi" w:hAnsiTheme="minorHAnsi"/>
          <w:sz w:val="22"/>
          <w:szCs w:val="22"/>
          <w:lang w:val="en-US"/>
        </w:rPr>
      </w:pPr>
      <w:r w:rsidRPr="00922E12">
        <w:rPr>
          <w:rFonts w:asciiTheme="minorHAnsi" w:hAnsiTheme="minorHAnsi"/>
          <w:sz w:val="22"/>
          <w:szCs w:val="22"/>
          <w:lang w:val="en-US"/>
        </w:rPr>
        <w:t xml:space="preserve">Article 9 of the </w:t>
      </w:r>
      <w:r w:rsidRPr="00D975EB">
        <w:rPr>
          <w:rFonts w:asciiTheme="minorHAnsi" w:hAnsiTheme="minorHAnsi"/>
          <w:sz w:val="22"/>
          <w:szCs w:val="22"/>
          <w:lang w:val="en-US"/>
        </w:rPr>
        <w:t>Decree Law Amending Certain Laws and Decree Laws for the Compliance with the Amendments to the Constitution No. 703 published in the Official Gazette dated 09.07.2018 and numbered 30473 and Electricity Market Law No. 6446;</w:t>
      </w:r>
    </w:p>
    <w:p w:rsidR="00922E12" w:rsidRPr="00FA5018" w:rsidRDefault="00D975EB" w:rsidP="00B5324E">
      <w:pPr>
        <w:pStyle w:val="ortabalkbold"/>
        <w:ind w:left="1440"/>
        <w:jc w:val="both"/>
        <w:rPr>
          <w:rFonts w:asciiTheme="minorHAnsi" w:hAnsiTheme="minorHAnsi"/>
          <w:i/>
          <w:sz w:val="22"/>
          <w:szCs w:val="22"/>
          <w:lang w:val="en-US"/>
        </w:rPr>
      </w:pPr>
      <w:r w:rsidRPr="00FA5018">
        <w:rPr>
          <w:rFonts w:asciiTheme="minorHAnsi" w:hAnsiTheme="minorHAnsi"/>
          <w:i/>
          <w:sz w:val="22"/>
          <w:szCs w:val="22"/>
          <w:lang w:val="en-US"/>
        </w:rPr>
        <w:t>“</w:t>
      </w:r>
      <w:r w:rsidR="003F573B" w:rsidRPr="00FA5018">
        <w:rPr>
          <w:rFonts w:asciiTheme="minorHAnsi" w:hAnsiTheme="minorHAnsi"/>
          <w:i/>
          <w:sz w:val="22"/>
          <w:szCs w:val="22"/>
          <w:lang w:val="en-US"/>
        </w:rPr>
        <w:t>11</w:t>
      </w:r>
      <w:r w:rsidR="003F573B" w:rsidRPr="00FA5018">
        <w:rPr>
          <w:rFonts w:asciiTheme="minorHAnsi" w:hAnsiTheme="minorHAnsi"/>
          <w:i/>
          <w:sz w:val="22"/>
          <w:szCs w:val="22"/>
          <w:vertAlign w:val="superscript"/>
          <w:lang w:val="en-US"/>
        </w:rPr>
        <w:t>th</w:t>
      </w:r>
      <w:r w:rsidR="00922E12" w:rsidRPr="00FA5018">
        <w:rPr>
          <w:rFonts w:asciiTheme="minorHAnsi" w:hAnsiTheme="minorHAnsi"/>
          <w:i/>
          <w:sz w:val="22"/>
          <w:szCs w:val="22"/>
          <w:lang w:val="en-US"/>
        </w:rPr>
        <w:t xml:space="preserve">, </w:t>
      </w:r>
      <w:r w:rsidR="003F573B" w:rsidRPr="00FA5018">
        <w:rPr>
          <w:rFonts w:asciiTheme="minorHAnsi" w:hAnsiTheme="minorHAnsi"/>
          <w:i/>
          <w:sz w:val="22"/>
          <w:szCs w:val="22"/>
          <w:lang w:val="en-US"/>
        </w:rPr>
        <w:t>14</w:t>
      </w:r>
      <w:r w:rsidR="003F573B" w:rsidRPr="00FA5018">
        <w:rPr>
          <w:rFonts w:asciiTheme="minorHAnsi" w:hAnsiTheme="minorHAnsi"/>
          <w:i/>
          <w:sz w:val="22"/>
          <w:szCs w:val="22"/>
          <w:vertAlign w:val="superscript"/>
          <w:lang w:val="en-US"/>
        </w:rPr>
        <w:t>th</w:t>
      </w:r>
      <w:r w:rsidR="003F573B" w:rsidRPr="00FA5018">
        <w:rPr>
          <w:rFonts w:asciiTheme="minorHAnsi" w:hAnsiTheme="minorHAnsi"/>
          <w:i/>
          <w:sz w:val="22"/>
          <w:szCs w:val="22"/>
          <w:lang w:val="en-US"/>
        </w:rPr>
        <w:t>,</w:t>
      </w:r>
      <w:r w:rsidR="00922E12" w:rsidRPr="00FA5018">
        <w:rPr>
          <w:rFonts w:asciiTheme="minorHAnsi" w:hAnsiTheme="minorHAnsi"/>
          <w:i/>
          <w:sz w:val="22"/>
          <w:szCs w:val="22"/>
          <w:lang w:val="en-US"/>
        </w:rPr>
        <w:t xml:space="preserve"> </w:t>
      </w:r>
      <w:r w:rsidR="003F573B" w:rsidRPr="00FA5018">
        <w:rPr>
          <w:rFonts w:asciiTheme="minorHAnsi" w:hAnsiTheme="minorHAnsi"/>
          <w:i/>
          <w:sz w:val="22"/>
          <w:szCs w:val="22"/>
          <w:lang w:val="en-US"/>
        </w:rPr>
        <w:t>17</w:t>
      </w:r>
      <w:r w:rsidR="003F573B" w:rsidRPr="00FA5018">
        <w:rPr>
          <w:rFonts w:asciiTheme="minorHAnsi" w:hAnsiTheme="minorHAnsi"/>
          <w:i/>
          <w:sz w:val="22"/>
          <w:szCs w:val="22"/>
          <w:vertAlign w:val="superscript"/>
          <w:lang w:val="en-US"/>
        </w:rPr>
        <w:t>th</w:t>
      </w:r>
      <w:r w:rsidR="003F573B" w:rsidRPr="00FA5018">
        <w:rPr>
          <w:rFonts w:asciiTheme="minorHAnsi" w:hAnsiTheme="minorHAnsi"/>
          <w:i/>
          <w:sz w:val="22"/>
          <w:szCs w:val="22"/>
          <w:lang w:val="en-US"/>
        </w:rPr>
        <w:t>,</w:t>
      </w:r>
      <w:r w:rsidR="00922E12" w:rsidRPr="00FA5018">
        <w:rPr>
          <w:rFonts w:asciiTheme="minorHAnsi" w:hAnsiTheme="minorHAnsi"/>
          <w:i/>
          <w:sz w:val="22"/>
          <w:szCs w:val="22"/>
          <w:lang w:val="en-US"/>
        </w:rPr>
        <w:t xml:space="preserve"> </w:t>
      </w:r>
      <w:r w:rsidR="003F573B" w:rsidRPr="00FA5018">
        <w:rPr>
          <w:rFonts w:asciiTheme="minorHAnsi" w:hAnsiTheme="minorHAnsi"/>
          <w:i/>
          <w:sz w:val="22"/>
          <w:szCs w:val="22"/>
          <w:lang w:val="en-US"/>
        </w:rPr>
        <w:t>18</w:t>
      </w:r>
      <w:r w:rsidR="003F573B" w:rsidRPr="00FA5018">
        <w:rPr>
          <w:rFonts w:asciiTheme="minorHAnsi" w:hAnsiTheme="minorHAnsi"/>
          <w:i/>
          <w:sz w:val="22"/>
          <w:szCs w:val="22"/>
          <w:vertAlign w:val="superscript"/>
          <w:lang w:val="en-US"/>
        </w:rPr>
        <w:t>th</w:t>
      </w:r>
      <w:r w:rsidR="003F573B" w:rsidRPr="00FA5018">
        <w:rPr>
          <w:rFonts w:asciiTheme="minorHAnsi" w:hAnsiTheme="minorHAnsi"/>
          <w:i/>
          <w:sz w:val="22"/>
          <w:szCs w:val="22"/>
          <w:lang w:val="en-US"/>
        </w:rPr>
        <w:t>,</w:t>
      </w:r>
      <w:r w:rsidR="00922E12" w:rsidRPr="00FA5018">
        <w:rPr>
          <w:rFonts w:asciiTheme="minorHAnsi" w:hAnsiTheme="minorHAnsi"/>
          <w:i/>
          <w:sz w:val="22"/>
          <w:szCs w:val="22"/>
          <w:lang w:val="en-US"/>
        </w:rPr>
        <w:t xml:space="preserve"> </w:t>
      </w:r>
      <w:r w:rsidR="003F573B" w:rsidRPr="00FA5018">
        <w:rPr>
          <w:rFonts w:asciiTheme="minorHAnsi" w:hAnsiTheme="minorHAnsi"/>
          <w:i/>
          <w:sz w:val="22"/>
          <w:szCs w:val="22"/>
          <w:lang w:val="en-US"/>
        </w:rPr>
        <w:t>20</w:t>
      </w:r>
      <w:r w:rsidR="003F573B" w:rsidRPr="00FA5018">
        <w:rPr>
          <w:rFonts w:asciiTheme="minorHAnsi" w:hAnsiTheme="minorHAnsi"/>
          <w:i/>
          <w:sz w:val="22"/>
          <w:szCs w:val="22"/>
          <w:vertAlign w:val="superscript"/>
          <w:lang w:val="en-US"/>
        </w:rPr>
        <w:t>th</w:t>
      </w:r>
      <w:r w:rsidR="003F573B" w:rsidRPr="00FA5018">
        <w:rPr>
          <w:rFonts w:asciiTheme="minorHAnsi" w:hAnsiTheme="minorHAnsi"/>
          <w:i/>
          <w:sz w:val="22"/>
          <w:szCs w:val="22"/>
          <w:lang w:val="en-US"/>
        </w:rPr>
        <w:t>,</w:t>
      </w:r>
      <w:r w:rsidR="00922E12" w:rsidRPr="00FA5018">
        <w:rPr>
          <w:rFonts w:asciiTheme="minorHAnsi" w:hAnsiTheme="minorHAnsi"/>
          <w:i/>
          <w:sz w:val="22"/>
          <w:szCs w:val="22"/>
          <w:lang w:val="en-US"/>
        </w:rPr>
        <w:t xml:space="preserve"> </w:t>
      </w:r>
      <w:r w:rsidR="003F573B" w:rsidRPr="00FA5018">
        <w:rPr>
          <w:rFonts w:asciiTheme="minorHAnsi" w:hAnsiTheme="minorHAnsi"/>
          <w:i/>
          <w:sz w:val="22"/>
          <w:szCs w:val="22"/>
          <w:lang w:val="en-US"/>
        </w:rPr>
        <w:t>26</w:t>
      </w:r>
      <w:r w:rsidR="003F573B" w:rsidRPr="00FA5018">
        <w:rPr>
          <w:rFonts w:asciiTheme="minorHAnsi" w:hAnsiTheme="minorHAnsi"/>
          <w:i/>
          <w:sz w:val="22"/>
          <w:szCs w:val="22"/>
          <w:vertAlign w:val="superscript"/>
          <w:lang w:val="en-US"/>
        </w:rPr>
        <w:t>th</w:t>
      </w:r>
      <w:r w:rsidR="003F573B" w:rsidRPr="00FA5018">
        <w:rPr>
          <w:rFonts w:asciiTheme="minorHAnsi" w:hAnsiTheme="minorHAnsi"/>
          <w:i/>
          <w:sz w:val="22"/>
          <w:szCs w:val="22"/>
          <w:lang w:val="en-US"/>
        </w:rPr>
        <w:t>, Temporary 1</w:t>
      </w:r>
      <w:r w:rsidR="003F573B" w:rsidRPr="00FA5018">
        <w:rPr>
          <w:rFonts w:asciiTheme="minorHAnsi" w:hAnsiTheme="minorHAnsi"/>
          <w:i/>
          <w:sz w:val="22"/>
          <w:szCs w:val="22"/>
          <w:vertAlign w:val="superscript"/>
          <w:lang w:val="en-US"/>
        </w:rPr>
        <w:t>st</w:t>
      </w:r>
      <w:r w:rsidR="00922E12" w:rsidRPr="00FA5018">
        <w:rPr>
          <w:rFonts w:asciiTheme="minorHAnsi" w:hAnsiTheme="minorHAnsi"/>
          <w:i/>
          <w:sz w:val="22"/>
          <w:szCs w:val="22"/>
          <w:lang w:val="en-US"/>
        </w:rPr>
        <w:t xml:space="preserve">, Temporary </w:t>
      </w:r>
      <w:r w:rsidR="003F573B" w:rsidRPr="00FA5018">
        <w:rPr>
          <w:rFonts w:asciiTheme="minorHAnsi" w:hAnsiTheme="minorHAnsi"/>
          <w:i/>
          <w:sz w:val="22"/>
          <w:szCs w:val="22"/>
          <w:lang w:val="en-US"/>
        </w:rPr>
        <w:t>4</w:t>
      </w:r>
      <w:r w:rsidR="003F573B" w:rsidRPr="00FA5018">
        <w:rPr>
          <w:rFonts w:asciiTheme="minorHAnsi" w:hAnsiTheme="minorHAnsi"/>
          <w:i/>
          <w:sz w:val="22"/>
          <w:szCs w:val="22"/>
          <w:vertAlign w:val="superscript"/>
          <w:lang w:val="en-US"/>
        </w:rPr>
        <w:t>th</w:t>
      </w:r>
      <w:r w:rsidR="003F573B" w:rsidRPr="00FA5018">
        <w:rPr>
          <w:rFonts w:asciiTheme="minorHAnsi" w:hAnsiTheme="minorHAnsi"/>
          <w:i/>
          <w:sz w:val="22"/>
          <w:szCs w:val="22"/>
          <w:lang w:val="en-US"/>
        </w:rPr>
        <w:t>,</w:t>
      </w:r>
      <w:r w:rsidR="00922E12" w:rsidRPr="00FA5018">
        <w:rPr>
          <w:rFonts w:asciiTheme="minorHAnsi" w:hAnsiTheme="minorHAnsi"/>
          <w:i/>
          <w:sz w:val="22"/>
          <w:szCs w:val="22"/>
          <w:lang w:val="en-US"/>
        </w:rPr>
        <w:t xml:space="preserve"> Temporary 6</w:t>
      </w:r>
      <w:r w:rsidR="00922E12" w:rsidRPr="00FA5018">
        <w:rPr>
          <w:rFonts w:asciiTheme="minorHAnsi" w:hAnsiTheme="minorHAnsi"/>
          <w:i/>
          <w:sz w:val="22"/>
          <w:szCs w:val="22"/>
          <w:vertAlign w:val="superscript"/>
          <w:lang w:val="en-US"/>
        </w:rPr>
        <w:t>th</w:t>
      </w:r>
      <w:r w:rsidR="00922E12" w:rsidRPr="00FA5018">
        <w:rPr>
          <w:rFonts w:asciiTheme="minorHAnsi" w:hAnsiTheme="minorHAnsi"/>
          <w:i/>
          <w:sz w:val="22"/>
          <w:szCs w:val="22"/>
          <w:lang w:val="en-US"/>
        </w:rPr>
        <w:t xml:space="preserve"> articles of the Council of Ministers and related statements have been changed to President</w:t>
      </w:r>
      <w:r w:rsidRPr="00FA5018">
        <w:rPr>
          <w:rFonts w:asciiTheme="minorHAnsi" w:hAnsiTheme="minorHAnsi"/>
          <w:i/>
          <w:sz w:val="22"/>
          <w:szCs w:val="22"/>
          <w:lang w:val="en-US"/>
        </w:rPr>
        <w:t>.”</w:t>
      </w:r>
    </w:p>
    <w:p w:rsidR="00D975EB" w:rsidRPr="00FA5018" w:rsidRDefault="00D975EB" w:rsidP="00B5324E">
      <w:pPr>
        <w:pStyle w:val="ortabalkbold"/>
        <w:ind w:left="1440"/>
        <w:jc w:val="both"/>
        <w:rPr>
          <w:rFonts w:asciiTheme="minorHAnsi" w:hAnsiTheme="minorHAnsi"/>
          <w:sz w:val="22"/>
          <w:szCs w:val="22"/>
          <w:lang w:val="en-US"/>
        </w:rPr>
      </w:pPr>
      <w:r w:rsidRPr="00FA5018">
        <w:rPr>
          <w:rFonts w:asciiTheme="minorHAnsi" w:hAnsiTheme="minorHAnsi"/>
          <w:i/>
          <w:sz w:val="22"/>
          <w:szCs w:val="22"/>
          <w:lang w:val="en-US"/>
        </w:rPr>
        <w:t>The following paragraphs have been added following Article 26 entitled “Rights and obligations of EÜAŞ”.</w:t>
      </w:r>
    </w:p>
    <w:p w:rsidR="00032581" w:rsidRPr="00FA5018" w:rsidRDefault="00032581" w:rsidP="00B5324E">
      <w:pPr>
        <w:pStyle w:val="ortabalkbold"/>
        <w:ind w:left="1440"/>
        <w:jc w:val="both"/>
        <w:rPr>
          <w:rFonts w:ascii="Calibri" w:hAnsi="Calibri"/>
          <w:i/>
          <w:sz w:val="22"/>
          <w:szCs w:val="22"/>
          <w:lang w:val="en-US"/>
        </w:rPr>
      </w:pPr>
      <w:r w:rsidRPr="00FA5018">
        <w:rPr>
          <w:rFonts w:ascii="Calibri" w:hAnsi="Calibri"/>
          <w:i/>
          <w:sz w:val="22"/>
          <w:szCs w:val="22"/>
          <w:lang w:val="en-US"/>
        </w:rPr>
        <w:t>“(7) (Annex: 9/7/2018-</w:t>
      </w:r>
      <w:r w:rsidR="00A573E1" w:rsidRPr="00FA5018">
        <w:rPr>
          <w:rFonts w:ascii="Calibri" w:hAnsi="Calibri"/>
          <w:i/>
          <w:sz w:val="22"/>
          <w:szCs w:val="22"/>
          <w:lang w:val="en-US"/>
        </w:rPr>
        <w:t>DL</w:t>
      </w:r>
      <w:r w:rsidRPr="00FA5018">
        <w:rPr>
          <w:rFonts w:ascii="Calibri" w:hAnsi="Calibri"/>
          <w:i/>
          <w:sz w:val="22"/>
          <w:szCs w:val="22"/>
          <w:lang w:val="en-US"/>
        </w:rPr>
        <w:t xml:space="preserve">-703/9 art.) EÜAŞ executes energy purchase and sale agreements signed within the scope of the existing contracts to which </w:t>
      </w:r>
      <w:r w:rsidR="00A573E1" w:rsidRPr="00FA5018">
        <w:rPr>
          <w:rFonts w:ascii="Calibri" w:hAnsi="Calibri"/>
          <w:i/>
          <w:sz w:val="22"/>
          <w:szCs w:val="22"/>
          <w:lang w:val="en-US"/>
        </w:rPr>
        <w:t>repealed</w:t>
      </w:r>
      <w:r w:rsidRPr="00FA5018">
        <w:rPr>
          <w:rFonts w:ascii="Calibri" w:hAnsi="Calibri"/>
          <w:i/>
          <w:sz w:val="22"/>
          <w:szCs w:val="22"/>
          <w:lang w:val="en-US"/>
        </w:rPr>
        <w:t xml:space="preserve"> TETAŞ is a party. </w:t>
      </w:r>
      <w:r w:rsidR="004530BB" w:rsidRPr="00FA5018">
        <w:rPr>
          <w:rFonts w:ascii="Calibri" w:hAnsi="Calibri"/>
          <w:i/>
          <w:sz w:val="22"/>
          <w:szCs w:val="22"/>
          <w:lang w:val="en-US"/>
        </w:rPr>
        <w:t>Signs electrical energy exchang</w:t>
      </w:r>
      <w:r w:rsidR="004530BB">
        <w:rPr>
          <w:rFonts w:ascii="Calibri" w:hAnsi="Calibri"/>
          <w:i/>
          <w:sz w:val="22"/>
          <w:szCs w:val="22"/>
          <w:lang w:val="en-US"/>
        </w:rPr>
        <w:t>e,</w:t>
      </w:r>
      <w:r w:rsidRPr="00FA5018">
        <w:rPr>
          <w:rFonts w:ascii="Calibri" w:hAnsi="Calibri"/>
          <w:i/>
          <w:sz w:val="22"/>
          <w:szCs w:val="22"/>
          <w:lang w:val="en-US"/>
        </w:rPr>
        <w:t xml:space="preserve"> import and export agreements and energy purchase and sale agreements within the scope of existing concession and application contracts.</w:t>
      </w:r>
    </w:p>
    <w:p w:rsidR="00D32ECB" w:rsidRPr="00FA5018" w:rsidRDefault="00D32ECB" w:rsidP="00B5324E">
      <w:pPr>
        <w:pStyle w:val="ortabalkbold"/>
        <w:ind w:left="1440"/>
        <w:jc w:val="both"/>
        <w:rPr>
          <w:rFonts w:ascii="Calibri" w:hAnsi="Calibri"/>
          <w:i/>
          <w:sz w:val="22"/>
          <w:szCs w:val="22"/>
          <w:lang w:val="en-US"/>
        </w:rPr>
      </w:pPr>
      <w:r w:rsidRPr="00FA5018">
        <w:rPr>
          <w:rFonts w:ascii="Calibri" w:hAnsi="Calibri"/>
          <w:i/>
          <w:sz w:val="22"/>
          <w:szCs w:val="22"/>
          <w:lang w:val="en-US"/>
        </w:rPr>
        <w:t>(8) (Annex: 9/7/2018-DL-703/9 art.) EÜAŞ makes and executes bilateral agreements regarding the purchase and sale of electricity and capacity within the scope of this Law and the related legislation and may operate in organized wholesale electricity markets.</w:t>
      </w:r>
    </w:p>
    <w:p w:rsidR="00D32ECB" w:rsidRPr="00FA5018" w:rsidRDefault="00D32ECB" w:rsidP="00B5324E">
      <w:pPr>
        <w:pStyle w:val="ortabalkbold"/>
        <w:ind w:left="1440"/>
        <w:jc w:val="both"/>
        <w:rPr>
          <w:rFonts w:ascii="Calibri" w:hAnsi="Calibri"/>
          <w:i/>
          <w:sz w:val="22"/>
          <w:szCs w:val="22"/>
          <w:lang w:val="en-US"/>
        </w:rPr>
      </w:pPr>
      <w:r w:rsidRPr="00FA5018">
        <w:rPr>
          <w:rFonts w:ascii="Calibri" w:hAnsi="Calibri"/>
          <w:i/>
          <w:sz w:val="22"/>
          <w:szCs w:val="22"/>
          <w:lang w:val="en-US"/>
        </w:rPr>
        <w:t>(9) (Annex: 9/7/2018-DL-703/9 art.) EÜAŞ sells electrical energy from the wholesale tariff to the authorized supply companies for the consumers whose tariff is regulated.</w:t>
      </w:r>
    </w:p>
    <w:p w:rsidR="00D32ECB" w:rsidRPr="00FA5018" w:rsidRDefault="00D32ECB" w:rsidP="00B5324E">
      <w:pPr>
        <w:pStyle w:val="ortabalkbold"/>
        <w:ind w:left="1440"/>
        <w:jc w:val="both"/>
        <w:rPr>
          <w:rFonts w:ascii="Calibri" w:hAnsi="Calibri"/>
          <w:i/>
          <w:sz w:val="22"/>
          <w:szCs w:val="22"/>
          <w:lang w:val="en-US"/>
        </w:rPr>
      </w:pPr>
      <w:r w:rsidRPr="00FA5018">
        <w:rPr>
          <w:rFonts w:ascii="Calibri" w:hAnsi="Calibri"/>
          <w:i/>
          <w:sz w:val="22"/>
          <w:szCs w:val="22"/>
          <w:lang w:val="en-US"/>
        </w:rPr>
        <w:t>(10) (Annex: 9/7/2018-DL-703/9 art.) The prices, terms and conditions regarding the sale of electric energy to the supply companies in charge for the non-regulated consumers of EÜAŞ shall be determined freely between the parties.</w:t>
      </w:r>
    </w:p>
    <w:p w:rsidR="00D32ECB" w:rsidRPr="00FA5018" w:rsidRDefault="00D32ECB" w:rsidP="00B5324E">
      <w:pPr>
        <w:pStyle w:val="ortabalkbold"/>
        <w:ind w:left="1440"/>
        <w:jc w:val="both"/>
        <w:rPr>
          <w:rFonts w:ascii="Calibri" w:hAnsi="Calibri"/>
          <w:i/>
          <w:sz w:val="22"/>
          <w:szCs w:val="22"/>
          <w:lang w:val="en-US"/>
        </w:rPr>
      </w:pPr>
      <w:r w:rsidRPr="00FA5018">
        <w:rPr>
          <w:rFonts w:ascii="Calibri" w:hAnsi="Calibri"/>
          <w:i/>
          <w:sz w:val="22"/>
          <w:szCs w:val="22"/>
          <w:lang w:val="en-US"/>
        </w:rPr>
        <w:t xml:space="preserve">(11) (Annex: 9/7/2018-DL-703/9 art.) </w:t>
      </w:r>
      <w:r w:rsidR="003F573B" w:rsidRPr="00FA5018">
        <w:rPr>
          <w:rFonts w:ascii="Calibri" w:hAnsi="Calibri"/>
          <w:i/>
          <w:sz w:val="22"/>
          <w:szCs w:val="22"/>
          <w:lang w:val="en-US"/>
        </w:rPr>
        <w:t>Suppliers who are authorized by the Board as the last source supplier are obliged to procure the amount of electrical energy supplied to the customers within the scope of the final source supplier from EÜAŞ.</w:t>
      </w:r>
    </w:p>
    <w:p w:rsidR="003F573B" w:rsidRPr="00FA5018" w:rsidRDefault="003F573B" w:rsidP="00B5324E">
      <w:pPr>
        <w:pStyle w:val="ortabalkbold"/>
        <w:ind w:left="1440"/>
        <w:jc w:val="both"/>
        <w:rPr>
          <w:rFonts w:ascii="Calibri" w:hAnsi="Calibri"/>
          <w:i/>
          <w:sz w:val="22"/>
          <w:szCs w:val="22"/>
          <w:lang w:val="en-US"/>
        </w:rPr>
      </w:pPr>
      <w:r w:rsidRPr="00FA5018">
        <w:rPr>
          <w:rFonts w:ascii="Calibri" w:hAnsi="Calibri"/>
          <w:i/>
          <w:sz w:val="22"/>
          <w:szCs w:val="22"/>
          <w:lang w:val="en-US"/>
        </w:rPr>
        <w:t>(12) (Annex: 9/7/2018-DL-703/9 art.) Distribution companies supply their energy needs from EÜAŞ due to general lighting and technical and non-technical losses.</w:t>
      </w:r>
    </w:p>
    <w:p w:rsidR="003F573B" w:rsidRPr="00FA5018" w:rsidRDefault="003F573B" w:rsidP="00B5324E">
      <w:pPr>
        <w:pStyle w:val="ortabalkbold"/>
        <w:ind w:left="1440"/>
        <w:jc w:val="both"/>
        <w:rPr>
          <w:rFonts w:ascii="Calibri" w:hAnsi="Calibri"/>
          <w:i/>
          <w:sz w:val="22"/>
          <w:szCs w:val="22"/>
          <w:lang w:val="en-US"/>
        </w:rPr>
      </w:pPr>
      <w:r w:rsidRPr="00FA5018">
        <w:rPr>
          <w:rFonts w:ascii="Calibri" w:hAnsi="Calibri"/>
          <w:i/>
          <w:sz w:val="22"/>
          <w:szCs w:val="22"/>
          <w:lang w:val="en-US"/>
        </w:rPr>
        <w:t xml:space="preserve">(13) (Annex: 9/7/2018-DL-703/9 art.) </w:t>
      </w:r>
      <w:r w:rsidR="00EF432F" w:rsidRPr="00FA5018">
        <w:rPr>
          <w:rFonts w:ascii="Calibri" w:hAnsi="Calibri"/>
          <w:i/>
          <w:sz w:val="22"/>
          <w:szCs w:val="22"/>
          <w:lang w:val="en-US"/>
        </w:rPr>
        <w:t>EÜAŞ; procures from the companies operating the domestic coal-fired power plants if they cannot meet the amount of electricity specified in the 9</w:t>
      </w:r>
      <w:r w:rsidR="00EF432F" w:rsidRPr="00FA5018">
        <w:rPr>
          <w:rFonts w:ascii="Calibri" w:hAnsi="Calibri"/>
          <w:i/>
          <w:sz w:val="22"/>
          <w:szCs w:val="22"/>
          <w:vertAlign w:val="superscript"/>
          <w:lang w:val="en-US"/>
        </w:rPr>
        <w:t>th</w:t>
      </w:r>
      <w:r w:rsidR="00EF432F" w:rsidRPr="00FA5018">
        <w:rPr>
          <w:rFonts w:ascii="Calibri" w:hAnsi="Calibri"/>
          <w:i/>
          <w:sz w:val="22"/>
          <w:szCs w:val="22"/>
          <w:lang w:val="en-US"/>
        </w:rPr>
        <w:t>, 11</w:t>
      </w:r>
      <w:r w:rsidR="00EF432F" w:rsidRPr="00FA5018">
        <w:rPr>
          <w:rFonts w:ascii="Calibri" w:hAnsi="Calibri"/>
          <w:i/>
          <w:sz w:val="22"/>
          <w:szCs w:val="22"/>
          <w:vertAlign w:val="superscript"/>
          <w:lang w:val="en-US"/>
        </w:rPr>
        <w:t>th</w:t>
      </w:r>
      <w:r w:rsidR="00EF432F" w:rsidRPr="00FA5018">
        <w:rPr>
          <w:rFonts w:ascii="Calibri" w:hAnsi="Calibri"/>
          <w:i/>
          <w:sz w:val="22"/>
          <w:szCs w:val="22"/>
          <w:lang w:val="en-US"/>
        </w:rPr>
        <w:t xml:space="preserve"> and 12</w:t>
      </w:r>
      <w:r w:rsidR="00EF432F" w:rsidRPr="00FA5018">
        <w:rPr>
          <w:rFonts w:ascii="Calibri" w:hAnsi="Calibri"/>
          <w:i/>
          <w:sz w:val="22"/>
          <w:szCs w:val="22"/>
          <w:vertAlign w:val="superscript"/>
          <w:lang w:val="en-US"/>
        </w:rPr>
        <w:t>th</w:t>
      </w:r>
      <w:r w:rsidR="00EF432F" w:rsidRPr="00FA5018">
        <w:rPr>
          <w:rFonts w:ascii="Calibri" w:hAnsi="Calibri"/>
          <w:i/>
          <w:sz w:val="22"/>
          <w:szCs w:val="22"/>
          <w:lang w:val="en-US"/>
        </w:rPr>
        <w:t xml:space="preserve"> paragraphs under the existing contracts. Other procedures and principles, including the determination of the amount, duration and price, shall be determined by the Ministry.</w:t>
      </w:r>
    </w:p>
    <w:p w:rsidR="00EF432F" w:rsidRPr="00FA5018" w:rsidRDefault="00EF432F" w:rsidP="00B5324E">
      <w:pPr>
        <w:pStyle w:val="ortabalkbold"/>
        <w:ind w:left="1440"/>
        <w:jc w:val="both"/>
        <w:rPr>
          <w:rFonts w:ascii="Calibri" w:hAnsi="Calibri"/>
          <w:i/>
          <w:sz w:val="22"/>
          <w:szCs w:val="22"/>
          <w:lang w:val="en-US"/>
        </w:rPr>
      </w:pPr>
      <w:r w:rsidRPr="00FA5018">
        <w:rPr>
          <w:rFonts w:ascii="Calibri" w:hAnsi="Calibri"/>
          <w:i/>
          <w:sz w:val="22"/>
          <w:szCs w:val="22"/>
          <w:lang w:val="en-US"/>
        </w:rPr>
        <w:t>(14) (Annex: 9/7/2018-DL-703/9 art.)</w:t>
      </w:r>
      <w:r w:rsidR="00171E09" w:rsidRPr="00FA5018">
        <w:rPr>
          <w:rFonts w:ascii="Calibri" w:hAnsi="Calibri"/>
          <w:i/>
          <w:sz w:val="22"/>
          <w:szCs w:val="22"/>
          <w:lang w:val="en-US"/>
        </w:rPr>
        <w:t xml:space="preserve"> The Ministry and the Authority shall take all kinds of measures by taking the opinions of the relevant ministries and public institutions in order to ensure that EÜAŞ fully meets the procurement obligations and does not arise any financial burden arising from these obligations, in a way that will not adversely affect the financial structures of other public economic enterprises operating in the energy market.</w:t>
      </w:r>
    </w:p>
    <w:p w:rsidR="00171E09" w:rsidRPr="00FA5018" w:rsidRDefault="00171E09" w:rsidP="00B5324E">
      <w:pPr>
        <w:pStyle w:val="ortabalkbold"/>
        <w:ind w:left="1440"/>
        <w:jc w:val="both"/>
        <w:rPr>
          <w:rFonts w:asciiTheme="minorHAnsi" w:hAnsiTheme="minorHAnsi"/>
          <w:i/>
          <w:sz w:val="22"/>
          <w:szCs w:val="22"/>
          <w:lang w:val="en-US"/>
        </w:rPr>
      </w:pPr>
      <w:r w:rsidRPr="00FA5018">
        <w:rPr>
          <w:rFonts w:asciiTheme="minorHAnsi" w:hAnsiTheme="minorHAnsi"/>
          <w:i/>
          <w:sz w:val="22"/>
          <w:szCs w:val="22"/>
          <w:lang w:val="en-US"/>
        </w:rPr>
        <w:t xml:space="preserve">Article 27, “Rights and obligations of </w:t>
      </w:r>
      <w:r w:rsidR="00FA5018">
        <w:rPr>
          <w:rFonts w:asciiTheme="minorHAnsi" w:hAnsiTheme="minorHAnsi"/>
          <w:i/>
          <w:sz w:val="22"/>
          <w:szCs w:val="22"/>
          <w:lang w:val="en-US"/>
        </w:rPr>
        <w:t>TETAŞ</w:t>
      </w:r>
      <w:r w:rsidRPr="00FA5018">
        <w:rPr>
          <w:rFonts w:asciiTheme="minorHAnsi" w:hAnsiTheme="minorHAnsi"/>
          <w:i/>
          <w:sz w:val="22"/>
          <w:szCs w:val="22"/>
          <w:lang w:val="en-US"/>
        </w:rPr>
        <w:t>”, has been repealed. And</w:t>
      </w:r>
      <w:r w:rsidR="00002578" w:rsidRPr="00FA5018">
        <w:rPr>
          <w:rFonts w:asciiTheme="minorHAnsi" w:hAnsiTheme="minorHAnsi"/>
          <w:i/>
          <w:sz w:val="22"/>
          <w:szCs w:val="22"/>
          <w:lang w:val="en-US"/>
        </w:rPr>
        <w:t xml:space="preserve"> the following additional substance was added following Article 31.</w:t>
      </w:r>
    </w:p>
    <w:p w:rsidR="00760108" w:rsidRPr="00FA5018" w:rsidRDefault="00002578" w:rsidP="00B5324E">
      <w:pPr>
        <w:spacing w:line="240" w:lineRule="auto"/>
        <w:ind w:left="708" w:firstLine="708"/>
        <w:jc w:val="both"/>
        <w:rPr>
          <w:rFonts w:ascii="Calibri" w:hAnsi="Calibri"/>
          <w:i/>
        </w:rPr>
      </w:pPr>
      <w:r w:rsidRPr="00FA5018">
        <w:rPr>
          <w:rFonts w:ascii="Calibri" w:hAnsi="Calibri"/>
          <w:i/>
        </w:rPr>
        <w:t>“ANNEX 1 – (Annex: 9/7/2018-DL-703/9 art</w:t>
      </w:r>
      <w:r w:rsidR="00760108" w:rsidRPr="00FA5018">
        <w:rPr>
          <w:rFonts w:ascii="Calibri" w:hAnsi="Calibri"/>
          <w:i/>
        </w:rPr>
        <w:t xml:space="preserve">.) </w:t>
      </w:r>
    </w:p>
    <w:p w:rsidR="00760108" w:rsidRPr="00E53D55" w:rsidRDefault="00E53D55" w:rsidP="00B5324E">
      <w:pPr>
        <w:spacing w:line="240" w:lineRule="auto"/>
        <w:ind w:left="1440"/>
        <w:jc w:val="both"/>
        <w:rPr>
          <w:rFonts w:ascii="Calibri" w:hAnsi="Calibri"/>
          <w:i/>
        </w:rPr>
      </w:pPr>
      <w:r>
        <w:rPr>
          <w:rFonts w:ascii="Calibri" w:hAnsi="Calibri"/>
          <w:i/>
        </w:rPr>
        <w:t xml:space="preserve">(1) </w:t>
      </w:r>
      <w:r w:rsidR="00760108" w:rsidRPr="00E53D55">
        <w:rPr>
          <w:rFonts w:ascii="Calibri" w:hAnsi="Calibri"/>
          <w:i/>
        </w:rPr>
        <w:t>In order to carry out inspection, determination, reporting, project approval and acceptance procedures regarding the obligations required for the establishment and operation of electricity generation, transmission, distribution and consumption facilities in accordance with national interests and modern technology; distribution license holder legal entities or private legal entities, authorization or purchase of services from these legal entities, qualifications, authorization, rights and obligations of these legal entities, sanctions to be applied to these legal entities and other matters shall be regulated by the regulation to be issued by the Ministry.</w:t>
      </w:r>
    </w:p>
    <w:p w:rsidR="00760108" w:rsidRPr="00626A2C" w:rsidRDefault="00760108" w:rsidP="00B5324E">
      <w:pPr>
        <w:spacing w:line="240" w:lineRule="auto"/>
        <w:ind w:left="1416"/>
        <w:jc w:val="both"/>
        <w:rPr>
          <w:rFonts w:ascii="Calibri" w:hAnsi="Calibri"/>
        </w:rPr>
      </w:pPr>
      <w:r w:rsidRPr="00626A2C">
        <w:rPr>
          <w:rFonts w:ascii="Calibri" w:hAnsi="Calibri"/>
        </w:rPr>
        <w:t xml:space="preserve">The following items have been added following the provisional articles 21. </w:t>
      </w:r>
    </w:p>
    <w:p w:rsidR="00760108" w:rsidRPr="00FA5018" w:rsidRDefault="00760108" w:rsidP="00B5324E">
      <w:pPr>
        <w:spacing w:line="240" w:lineRule="auto"/>
        <w:ind w:left="708" w:firstLine="708"/>
        <w:jc w:val="both"/>
        <w:rPr>
          <w:rFonts w:ascii="Calibri" w:hAnsi="Calibri"/>
          <w:i/>
        </w:rPr>
      </w:pPr>
      <w:r w:rsidRPr="00FA5018">
        <w:rPr>
          <w:rFonts w:ascii="Calibri" w:hAnsi="Calibri"/>
          <w:i/>
        </w:rPr>
        <w:t>“TEMPORARY ANNEX 22- (Annex: 9/7/2018-DL-703/9 art.)</w:t>
      </w:r>
    </w:p>
    <w:p w:rsidR="00760108" w:rsidRPr="004530BB" w:rsidRDefault="00760108" w:rsidP="00E37E90">
      <w:pPr>
        <w:pStyle w:val="ListeParagraf"/>
        <w:numPr>
          <w:ilvl w:val="0"/>
          <w:numId w:val="36"/>
        </w:numPr>
        <w:spacing w:line="240" w:lineRule="auto"/>
        <w:jc w:val="both"/>
        <w:rPr>
          <w:rFonts w:ascii="Calibri" w:hAnsi="Calibri"/>
          <w:i/>
        </w:rPr>
      </w:pPr>
      <w:r w:rsidRPr="004530BB">
        <w:rPr>
          <w:rFonts w:ascii="Calibri" w:hAnsi="Calibri"/>
          <w:i/>
        </w:rPr>
        <w:t>On the date of entry into force of this article, TETAŞ and EÜAŞ were merged under EÜAŞ. On the date of entry into force of this article, all personnel working in the former TETAŞ shall be deemed to have been assigned to EÜAŞ without any need for any transaction including their personnel, position, financial and personal rights. On the date of entry into force of this article, all kinds of immovable and movables, vehicles, vehicles, materials and materials, all kinds of records and other documents in written and electronic form and other documents shall be deemed to be transferred to EUAS. The Minister of Energy and Natural Resources is authorized to resolve any doubts that may arise during the transfer of the repeal TETAŞ to EÜAŞ regarding the organization, personnel, staff, asset transfer and similar issues.</w:t>
      </w:r>
    </w:p>
    <w:p w:rsidR="00760108" w:rsidRPr="00FA5018" w:rsidRDefault="00760108" w:rsidP="00B5324E">
      <w:pPr>
        <w:spacing w:line="240" w:lineRule="auto"/>
        <w:ind w:left="708" w:firstLine="708"/>
        <w:jc w:val="both"/>
        <w:rPr>
          <w:rFonts w:ascii="Calibri" w:hAnsi="Calibri"/>
          <w:i/>
        </w:rPr>
      </w:pPr>
      <w:r w:rsidRPr="00FA5018">
        <w:rPr>
          <w:rFonts w:ascii="Calibri" w:hAnsi="Calibri"/>
          <w:i/>
        </w:rPr>
        <w:t xml:space="preserve">TEMPORARY ANNEX 23- (Annex: 9/7/2018-DL-703/9 art.) </w:t>
      </w:r>
    </w:p>
    <w:p w:rsidR="00760108" w:rsidRPr="00E53D55" w:rsidRDefault="00E53D55" w:rsidP="00B5324E">
      <w:pPr>
        <w:spacing w:line="240" w:lineRule="auto"/>
        <w:ind w:left="1416"/>
        <w:jc w:val="both"/>
        <w:rPr>
          <w:rFonts w:ascii="Calibri" w:hAnsi="Calibri"/>
          <w:i/>
        </w:rPr>
      </w:pPr>
      <w:r>
        <w:rPr>
          <w:rFonts w:ascii="Calibri" w:hAnsi="Calibri"/>
          <w:i/>
        </w:rPr>
        <w:t xml:space="preserve">(1) </w:t>
      </w:r>
      <w:r w:rsidR="00760108" w:rsidRPr="00E53D55">
        <w:rPr>
          <w:rFonts w:ascii="Calibri" w:hAnsi="Calibri"/>
          <w:i/>
        </w:rPr>
        <w:t>Before the effective date of this article, EÜAŞ shall become a party instead of the former TETAŞ without the need for any action in the lawsuits filed against and against the former TETAŞ. The rights, receivables and liabilities of the abrogated TETAŞ arising from the legislation and the contract are deemed to have been transferred to EÜAŞ without any transaction.</w:t>
      </w:r>
    </w:p>
    <w:p w:rsidR="00760108" w:rsidRPr="00FA5018" w:rsidRDefault="00760108" w:rsidP="00B5324E">
      <w:pPr>
        <w:spacing w:line="240" w:lineRule="auto"/>
        <w:ind w:left="708" w:firstLine="708"/>
        <w:jc w:val="both"/>
        <w:rPr>
          <w:rFonts w:ascii="Calibri" w:hAnsi="Calibri"/>
          <w:i/>
        </w:rPr>
      </w:pPr>
      <w:r w:rsidRPr="00FA5018">
        <w:rPr>
          <w:rFonts w:ascii="Calibri" w:hAnsi="Calibri"/>
          <w:i/>
        </w:rPr>
        <w:t xml:space="preserve">TEMPORARY ANNEX 24- (Annex: 9/7/2018-DL-703/9 art.) </w:t>
      </w:r>
    </w:p>
    <w:p w:rsidR="00760108" w:rsidRPr="004530BB" w:rsidRDefault="00307CA9" w:rsidP="00E37E90">
      <w:pPr>
        <w:pStyle w:val="ListeParagraf"/>
        <w:numPr>
          <w:ilvl w:val="0"/>
          <w:numId w:val="35"/>
        </w:numPr>
        <w:spacing w:line="240" w:lineRule="auto"/>
        <w:jc w:val="both"/>
        <w:rPr>
          <w:rFonts w:ascii="Calibri" w:hAnsi="Calibri"/>
          <w:i/>
        </w:rPr>
      </w:pPr>
      <w:r w:rsidRPr="004530BB">
        <w:rPr>
          <w:rFonts w:ascii="Calibri" w:hAnsi="Calibri"/>
          <w:i/>
        </w:rPr>
        <w:t>In other legislation, references to articles 26 and 27 of this Law shall be deemed to have been made to the relevant provisions of Law no6446. In the legislation, references to abrogated TETAŞ are deemed to have been made to EÜAŞ</w:t>
      </w:r>
      <w:r w:rsidR="004530BB">
        <w:rPr>
          <w:rFonts w:ascii="Calibri" w:hAnsi="Calibri"/>
          <w:i/>
        </w:rPr>
        <w:t>.</w:t>
      </w:r>
      <w:r w:rsidRPr="004530BB">
        <w:rPr>
          <w:rFonts w:ascii="Calibri" w:hAnsi="Calibri"/>
          <w:i/>
        </w:rPr>
        <w:t>”</w:t>
      </w:r>
    </w:p>
    <w:p w:rsidR="00FA5018" w:rsidRPr="00FA5018" w:rsidRDefault="00FA5018" w:rsidP="00B5324E">
      <w:pPr>
        <w:spacing w:line="240" w:lineRule="auto"/>
        <w:ind w:left="1416"/>
        <w:jc w:val="both"/>
        <w:rPr>
          <w:rFonts w:ascii="Calibri" w:hAnsi="Calibri"/>
          <w:i/>
        </w:rPr>
      </w:pPr>
    </w:p>
    <w:p w:rsidR="00FA5018" w:rsidRPr="008531CD" w:rsidRDefault="00626A2C" w:rsidP="008531CD">
      <w:pPr>
        <w:pStyle w:val="Balk3"/>
      </w:pPr>
      <w:bookmarkStart w:id="24" w:name="_Toc12956297"/>
      <w:r w:rsidRPr="008531CD">
        <w:t>2.1.2. Regulations</w:t>
      </w:r>
      <w:bookmarkEnd w:id="24"/>
    </w:p>
    <w:p w:rsidR="005E4833" w:rsidRDefault="00C330E6" w:rsidP="00B5324E">
      <w:pPr>
        <w:spacing w:line="240" w:lineRule="auto"/>
        <w:ind w:left="720"/>
        <w:jc w:val="both"/>
        <w:rPr>
          <w:rFonts w:ascii="Calibri" w:hAnsi="Calibri"/>
        </w:rPr>
      </w:pPr>
      <w:r>
        <w:rPr>
          <w:rFonts w:ascii="Calibri" w:hAnsi="Calibri"/>
        </w:rPr>
        <w:t xml:space="preserve">The following regulation studies were conducted in the electricity market in 2018: </w:t>
      </w:r>
    </w:p>
    <w:p w:rsidR="00C330E6" w:rsidRDefault="00C330E6" w:rsidP="00B5324E">
      <w:pPr>
        <w:spacing w:line="240" w:lineRule="auto"/>
        <w:ind w:left="720"/>
        <w:jc w:val="both"/>
        <w:rPr>
          <w:rFonts w:ascii="Calibri" w:hAnsi="Calibri"/>
        </w:rPr>
      </w:pPr>
    </w:p>
    <w:p w:rsidR="00C330E6" w:rsidRDefault="00C330E6" w:rsidP="00E37E90">
      <w:pPr>
        <w:pStyle w:val="ListeParagraf"/>
        <w:numPr>
          <w:ilvl w:val="0"/>
          <w:numId w:val="3"/>
        </w:numPr>
        <w:spacing w:line="240" w:lineRule="auto"/>
        <w:jc w:val="both"/>
        <w:rPr>
          <w:rFonts w:ascii="Calibri" w:hAnsi="Calibri"/>
        </w:rPr>
      </w:pPr>
      <w:r w:rsidRPr="00C330E6">
        <w:rPr>
          <w:rFonts w:ascii="Calibri" w:hAnsi="Calibri"/>
        </w:rPr>
        <w:t xml:space="preserve">In the Official Gazette dated 30.05.2018 and numbered 30436, the purpose is minimum standard, procedure based on business and transactions between consumers, suppliers and / or distribution companies in the sale of electric and </w:t>
      </w:r>
      <w:r w:rsidR="008C2F51">
        <w:rPr>
          <w:rFonts w:ascii="Calibri" w:hAnsi="Calibri"/>
        </w:rPr>
        <w:t xml:space="preserve">Electricity </w:t>
      </w:r>
      <w:r w:rsidRPr="00C330E6">
        <w:rPr>
          <w:rFonts w:ascii="Calibri" w:hAnsi="Calibri"/>
        </w:rPr>
        <w:t xml:space="preserve">Regulation on Consumer Services </w:t>
      </w:r>
      <w:r w:rsidR="008C2F51">
        <w:rPr>
          <w:rFonts w:ascii="Calibri" w:hAnsi="Calibri"/>
        </w:rPr>
        <w:t>Electricity</w:t>
      </w:r>
      <w:r w:rsidRPr="00C330E6">
        <w:rPr>
          <w:rFonts w:ascii="Calibri" w:hAnsi="Calibri"/>
        </w:rPr>
        <w:t>. With the publication of the Regulation, the Electricity Market Consumer Services Regulation published in the Official Gazette dated 08.05.2014 and numbered 28994 was repealed.</w:t>
      </w:r>
      <w:r w:rsidR="008C2F51">
        <w:rPr>
          <w:rFonts w:ascii="Calibri" w:hAnsi="Calibri"/>
        </w:rPr>
        <w:t xml:space="preserve"> </w:t>
      </w:r>
      <w:r w:rsidR="001A0283" w:rsidRPr="001A0283">
        <w:rPr>
          <w:rFonts w:ascii="Calibri" w:hAnsi="Calibri"/>
        </w:rPr>
        <w:t>The third part of the Regulation titled Bilateral Agreement and the sixth part of the Regulation titled Rights and Obligations of Suppliers and Consumers, Determination of Eligible Consumer Limit will be effective as of 01.07.2018 and the other parts that will enter into force of the date of publication.</w:t>
      </w:r>
      <w:r w:rsidR="001A0283">
        <w:rPr>
          <w:rFonts w:ascii="Calibri" w:hAnsi="Calibri"/>
        </w:rPr>
        <w:t xml:space="preserve"> </w:t>
      </w:r>
      <w:r w:rsidR="001C2AF8" w:rsidRPr="001C2AF8">
        <w:rPr>
          <w:rFonts w:ascii="Calibri" w:hAnsi="Calibri"/>
        </w:rPr>
        <w:t>With the provisions of the Regulation, which entered into force on 01.07.2018, amendments were made to regulate the withdrawal price, right of termination, security fee, establishment and termination of the bilateral agreement with respect to the bilateral agreements to be signed by the free consumers whose annual electricity consumption is less than 100.000 kWh.</w:t>
      </w:r>
      <w:r w:rsidR="001C2AF8">
        <w:rPr>
          <w:rFonts w:ascii="Calibri" w:hAnsi="Calibri"/>
        </w:rPr>
        <w:t xml:space="preserve"> </w:t>
      </w:r>
    </w:p>
    <w:p w:rsidR="00D4182C" w:rsidRPr="00D4182C" w:rsidRDefault="00947B53" w:rsidP="00E37E90">
      <w:pPr>
        <w:pStyle w:val="ListeParagraf"/>
        <w:numPr>
          <w:ilvl w:val="0"/>
          <w:numId w:val="3"/>
        </w:numPr>
        <w:spacing w:line="240" w:lineRule="auto"/>
        <w:jc w:val="both"/>
        <w:rPr>
          <w:rFonts w:ascii="Calibri" w:hAnsi="Calibri"/>
        </w:rPr>
      </w:pPr>
      <w:r w:rsidRPr="00947B53">
        <w:rPr>
          <w:rFonts w:ascii="Calibri" w:hAnsi="Calibri"/>
        </w:rPr>
        <w:t>The purpose of the Official Gazette No. 30307 dated 20.01.2018 is</w:t>
      </w:r>
      <w:r>
        <w:rPr>
          <w:rFonts w:ascii="Calibri" w:hAnsi="Calibri"/>
        </w:rPr>
        <w:t xml:space="preserve"> </w:t>
      </w:r>
      <w:r w:rsidRPr="00947B53">
        <w:rPr>
          <w:rFonts w:ascii="Calibri" w:hAnsi="Calibri"/>
        </w:rPr>
        <w:t>The Electricity Market Capacity Mechanism Regulation was published</w:t>
      </w:r>
      <w:r>
        <w:rPr>
          <w:rFonts w:ascii="Calibri" w:hAnsi="Calibri"/>
        </w:rPr>
        <w:t xml:space="preserve"> that “</w:t>
      </w:r>
      <w:r w:rsidRPr="00947B53">
        <w:rPr>
          <w:rFonts w:ascii="Calibri" w:hAnsi="Calibri"/>
        </w:rPr>
        <w:t>to establish sufficient capacity including the reserve capacity required for supply security in the electricity market and / or to determine the capacity mechanism to be operated by TEİAŞ to maintain reliable installed power capacit</w:t>
      </w:r>
      <w:r>
        <w:rPr>
          <w:rFonts w:ascii="Calibri" w:hAnsi="Calibri"/>
        </w:rPr>
        <w:t>y for long-term system security”</w:t>
      </w:r>
      <w:r w:rsidRPr="00947B53">
        <w:rPr>
          <w:rFonts w:ascii="Calibri" w:hAnsi="Calibri"/>
        </w:rPr>
        <w:t xml:space="preserve"> and entered into force upon publication.</w:t>
      </w:r>
    </w:p>
    <w:p w:rsidR="00947B53" w:rsidRDefault="002E439D" w:rsidP="00E37E90">
      <w:pPr>
        <w:pStyle w:val="ListeParagraf"/>
        <w:numPr>
          <w:ilvl w:val="0"/>
          <w:numId w:val="3"/>
        </w:numPr>
        <w:spacing w:line="240" w:lineRule="auto"/>
        <w:jc w:val="both"/>
        <w:rPr>
          <w:rFonts w:ascii="Calibri" w:hAnsi="Calibri"/>
        </w:rPr>
      </w:pPr>
      <w:r w:rsidRPr="002E439D">
        <w:rPr>
          <w:rFonts w:ascii="Calibri" w:hAnsi="Calibri"/>
        </w:rPr>
        <w:t>Regulation published in the Official Gazette dated 12.01.2018 and numbered 30299 has been amended in the first, fourth and fifth paragraphs of Article 28 of the Electricity Market Ancillary Services Regulation entitled</w:t>
      </w:r>
      <w:r w:rsidR="004530BB">
        <w:rPr>
          <w:rFonts w:ascii="Calibri" w:hAnsi="Calibri"/>
        </w:rPr>
        <w:t xml:space="preserve"> “</w:t>
      </w:r>
      <w:r w:rsidRPr="002E439D">
        <w:rPr>
          <w:rFonts w:ascii="Calibri" w:hAnsi="Calibri"/>
        </w:rPr>
        <w:t>Secondary frequency control service imbalance reimbursement”.</w:t>
      </w:r>
      <w:r>
        <w:rPr>
          <w:rFonts w:ascii="Calibri" w:hAnsi="Calibri"/>
        </w:rPr>
        <w:t xml:space="preserve"> </w:t>
      </w:r>
      <w:r w:rsidRPr="002E439D">
        <w:rPr>
          <w:rFonts w:ascii="Calibri" w:hAnsi="Calibri"/>
        </w:rPr>
        <w:t>In the first paragraph, the imbalance reimbursement formula, in the fourth paragraph energy imbalance formula and in the fifth paragraph the definitions of the symbols in the fourth paragraph have been changed. This regulation is effective as of 01/02/2018.</w:t>
      </w:r>
    </w:p>
    <w:p w:rsidR="002E439D" w:rsidRDefault="002E439D" w:rsidP="00E37E90">
      <w:pPr>
        <w:pStyle w:val="ListeParagraf"/>
        <w:numPr>
          <w:ilvl w:val="0"/>
          <w:numId w:val="3"/>
        </w:numPr>
        <w:spacing w:line="240" w:lineRule="auto"/>
        <w:jc w:val="both"/>
        <w:rPr>
          <w:rFonts w:ascii="Calibri" w:hAnsi="Calibri"/>
        </w:rPr>
      </w:pPr>
      <w:r w:rsidRPr="002E439D">
        <w:rPr>
          <w:rFonts w:ascii="Calibri" w:hAnsi="Calibri"/>
        </w:rPr>
        <w:t xml:space="preserve">The </w:t>
      </w:r>
      <w:r w:rsidR="000648AD">
        <w:rPr>
          <w:rFonts w:ascii="Calibri" w:hAnsi="Calibri"/>
        </w:rPr>
        <w:t>Amending Regulation</w:t>
      </w:r>
      <w:r w:rsidRPr="002E439D">
        <w:rPr>
          <w:rFonts w:ascii="Calibri" w:hAnsi="Calibri"/>
        </w:rPr>
        <w:t xml:space="preserve"> published in the Official Gazette dated 20.01.2018 and numbered 30307 has been amended in articles 6</w:t>
      </w:r>
      <w:r>
        <w:rPr>
          <w:rFonts w:ascii="Calibri" w:hAnsi="Calibri"/>
        </w:rPr>
        <w:t xml:space="preserve"> entitled </w:t>
      </w:r>
      <w:r w:rsidRPr="002E439D">
        <w:rPr>
          <w:rFonts w:ascii="Calibri" w:hAnsi="Calibri"/>
        </w:rPr>
        <w:t xml:space="preserve">Distribution Connection Rates and </w:t>
      </w:r>
      <w:r>
        <w:rPr>
          <w:rFonts w:ascii="Calibri" w:hAnsi="Calibri"/>
        </w:rPr>
        <w:t xml:space="preserve">article 12 entitled </w:t>
      </w:r>
      <w:r w:rsidRPr="002E439D">
        <w:rPr>
          <w:rFonts w:ascii="Calibri" w:hAnsi="Calibri"/>
        </w:rPr>
        <w:t>Latest Source Procurement Tariff</w:t>
      </w:r>
      <w:r>
        <w:rPr>
          <w:rFonts w:ascii="Calibri" w:hAnsi="Calibri"/>
        </w:rPr>
        <w:t xml:space="preserve"> </w:t>
      </w:r>
      <w:r w:rsidRPr="002E439D">
        <w:rPr>
          <w:rFonts w:ascii="Calibri" w:hAnsi="Calibri"/>
        </w:rPr>
        <w:t>of the Electricity Market Tariffs Regulation.</w:t>
      </w:r>
      <w:r>
        <w:rPr>
          <w:rFonts w:ascii="Calibri" w:hAnsi="Calibri"/>
        </w:rPr>
        <w:t xml:space="preserve"> </w:t>
      </w:r>
      <w:r w:rsidRPr="002E439D">
        <w:rPr>
          <w:rFonts w:ascii="Calibri" w:hAnsi="Calibri"/>
        </w:rPr>
        <w:t>The provisional article 2 entitled Implementati</w:t>
      </w:r>
      <w:r w:rsidR="00A3026A">
        <w:rPr>
          <w:rFonts w:ascii="Calibri" w:hAnsi="Calibri"/>
        </w:rPr>
        <w:t xml:space="preserve">on of the last resource tariff </w:t>
      </w:r>
      <w:r w:rsidRPr="002E439D">
        <w:rPr>
          <w:rFonts w:ascii="Calibri" w:hAnsi="Calibri"/>
        </w:rPr>
        <w:t>has been repealed.</w:t>
      </w:r>
      <w:r w:rsidR="0050056E" w:rsidRPr="0050056E">
        <w:t xml:space="preserve"> </w:t>
      </w:r>
      <w:r w:rsidR="0050056E" w:rsidRPr="0050056E">
        <w:rPr>
          <w:rFonts w:ascii="Calibri" w:hAnsi="Calibri"/>
        </w:rPr>
        <w:t>The amendment to Article 6 is related to the scope of distribution connection tariff and the amendment to Article 12 is related to the communiqué which will be taken as basis in the calculation of the final source supply tariff. The amendments are effective as of the date of publication.</w:t>
      </w:r>
    </w:p>
    <w:p w:rsidR="0050056E" w:rsidRDefault="000648AD" w:rsidP="00E37E90">
      <w:pPr>
        <w:pStyle w:val="ListeParagraf"/>
        <w:numPr>
          <w:ilvl w:val="0"/>
          <w:numId w:val="3"/>
        </w:numPr>
        <w:spacing w:line="240" w:lineRule="auto"/>
        <w:jc w:val="both"/>
        <w:rPr>
          <w:rFonts w:ascii="Calibri" w:hAnsi="Calibri"/>
        </w:rPr>
      </w:pPr>
      <w:r>
        <w:rPr>
          <w:rFonts w:ascii="Calibri" w:hAnsi="Calibri"/>
        </w:rPr>
        <w:t>With the Amending</w:t>
      </w:r>
      <w:r w:rsidR="0050056E" w:rsidRPr="0050056E">
        <w:rPr>
          <w:rFonts w:ascii="Calibri" w:hAnsi="Calibri"/>
        </w:rPr>
        <w:t xml:space="preserve"> Regulation published in the Official Gazette dated 29.09.2018 and numbered 30550, the definition of the connection line has been changed in the Electricity Market Connection and System Use Regulation.</w:t>
      </w:r>
      <w:r w:rsidR="0050056E">
        <w:rPr>
          <w:rFonts w:ascii="Calibri" w:hAnsi="Calibri"/>
        </w:rPr>
        <w:t xml:space="preserve"> </w:t>
      </w:r>
      <w:r w:rsidR="0050056E" w:rsidRPr="0050056E">
        <w:rPr>
          <w:rFonts w:ascii="Calibri" w:hAnsi="Calibri"/>
        </w:rPr>
        <w:t>The provisions on connection and system usage agreements, connection application, agreement power, connection line, guarantee and modification provisions and the provisions regarding separation from the transmission system have been amended.</w:t>
      </w:r>
    </w:p>
    <w:p w:rsidR="0050056E" w:rsidRPr="004530BB" w:rsidRDefault="000648AD" w:rsidP="00E37E90">
      <w:pPr>
        <w:pStyle w:val="ListeParagraf"/>
        <w:numPr>
          <w:ilvl w:val="0"/>
          <w:numId w:val="3"/>
        </w:numPr>
        <w:spacing w:line="240" w:lineRule="auto"/>
        <w:jc w:val="both"/>
        <w:rPr>
          <w:rFonts w:ascii="Calibri" w:hAnsi="Calibri"/>
        </w:rPr>
      </w:pPr>
      <w:r>
        <w:rPr>
          <w:rFonts w:ascii="Calibri" w:hAnsi="Calibri"/>
        </w:rPr>
        <w:t>Amending</w:t>
      </w:r>
      <w:r w:rsidR="006C0861" w:rsidRPr="004530BB">
        <w:rPr>
          <w:rFonts w:ascii="Calibri" w:hAnsi="Calibri"/>
        </w:rPr>
        <w:t xml:space="preserve"> Regulation published in the Official Gazette dated 09.07.2018 and numbered 30473 and the Electricity Market License Regulation.</w:t>
      </w:r>
    </w:p>
    <w:p w:rsidR="006C0861" w:rsidRPr="004530BB" w:rsidRDefault="00AF0F46" w:rsidP="00E37E90">
      <w:pPr>
        <w:pStyle w:val="ListeParagraf"/>
        <w:numPr>
          <w:ilvl w:val="0"/>
          <w:numId w:val="4"/>
        </w:numPr>
        <w:spacing w:line="240" w:lineRule="auto"/>
        <w:jc w:val="both"/>
        <w:rPr>
          <w:rFonts w:ascii="Calibri" w:hAnsi="Calibri"/>
        </w:rPr>
      </w:pPr>
      <w:r w:rsidRPr="004530BB">
        <w:rPr>
          <w:rFonts w:ascii="Calibri" w:hAnsi="Calibri"/>
        </w:rPr>
        <w:t>With the pre-license application procedure, the provisions regarding the works and transactions to be completed within the pre-license period have been changed.</w:t>
      </w:r>
    </w:p>
    <w:p w:rsidR="00AF0F46" w:rsidRPr="004530BB" w:rsidRDefault="00AF0F46" w:rsidP="00E37E90">
      <w:pPr>
        <w:pStyle w:val="ListeParagraf"/>
        <w:numPr>
          <w:ilvl w:val="0"/>
          <w:numId w:val="4"/>
        </w:numPr>
        <w:spacing w:line="240" w:lineRule="auto"/>
        <w:jc w:val="both"/>
        <w:rPr>
          <w:rFonts w:ascii="Calibri" w:hAnsi="Calibri"/>
        </w:rPr>
      </w:pPr>
      <w:r w:rsidRPr="004530BB">
        <w:rPr>
          <w:rFonts w:ascii="Calibri" w:hAnsi="Calibri"/>
        </w:rPr>
        <w:t xml:space="preserve">The obligations of </w:t>
      </w:r>
      <w:r w:rsidR="005F5E6A">
        <w:rPr>
          <w:rFonts w:ascii="Calibri" w:hAnsi="Calibri"/>
        </w:rPr>
        <w:t>pre-license</w:t>
      </w:r>
      <w:r w:rsidRPr="004530BB">
        <w:rPr>
          <w:rFonts w:ascii="Calibri" w:hAnsi="Calibri"/>
        </w:rPr>
        <w:t xml:space="preserve"> and production license holders have been changed.</w:t>
      </w:r>
    </w:p>
    <w:p w:rsidR="00AF0F46" w:rsidRPr="004530BB" w:rsidRDefault="00FF62CC" w:rsidP="00E37E90">
      <w:pPr>
        <w:pStyle w:val="ListeParagraf"/>
        <w:numPr>
          <w:ilvl w:val="0"/>
          <w:numId w:val="4"/>
        </w:numPr>
        <w:spacing w:line="240" w:lineRule="auto"/>
        <w:jc w:val="both"/>
        <w:rPr>
          <w:rFonts w:ascii="Calibri" w:hAnsi="Calibri"/>
        </w:rPr>
      </w:pPr>
      <w:r w:rsidRPr="004530BB">
        <w:rPr>
          <w:rFonts w:ascii="Calibri" w:hAnsi="Calibri"/>
        </w:rPr>
        <w:t>Annex-1 of the Regulation, which is a petition for license application, and Annex-2, which is a pre-license application, has been amended.</w:t>
      </w:r>
    </w:p>
    <w:p w:rsidR="00FF62CC" w:rsidRPr="004530BB" w:rsidRDefault="000648AD" w:rsidP="00E37E90">
      <w:pPr>
        <w:pStyle w:val="ListeParagraf"/>
        <w:numPr>
          <w:ilvl w:val="1"/>
          <w:numId w:val="2"/>
        </w:numPr>
        <w:spacing w:line="240" w:lineRule="auto"/>
        <w:jc w:val="both"/>
        <w:rPr>
          <w:rFonts w:ascii="Calibri" w:hAnsi="Calibri"/>
        </w:rPr>
      </w:pPr>
      <w:r>
        <w:rPr>
          <w:rFonts w:ascii="Calibri" w:hAnsi="Calibri"/>
        </w:rPr>
        <w:t>Amending</w:t>
      </w:r>
      <w:r w:rsidR="00FF62CC" w:rsidRPr="004530BB">
        <w:rPr>
          <w:rFonts w:ascii="Calibri" w:hAnsi="Calibri"/>
        </w:rPr>
        <w:t xml:space="preserve"> Regulation published in the Official Gazette dated 16.08.2018 and numbered 30511 and the Electricity Market License Regulation.</w:t>
      </w:r>
    </w:p>
    <w:p w:rsidR="00FF62CC" w:rsidRPr="004530BB" w:rsidRDefault="00FF62CC" w:rsidP="00E37E90">
      <w:pPr>
        <w:pStyle w:val="ListeParagraf"/>
        <w:numPr>
          <w:ilvl w:val="0"/>
          <w:numId w:val="5"/>
        </w:numPr>
        <w:spacing w:line="240" w:lineRule="auto"/>
        <w:jc w:val="both"/>
        <w:rPr>
          <w:rFonts w:ascii="Calibri" w:hAnsi="Calibri"/>
        </w:rPr>
      </w:pPr>
      <w:r w:rsidRPr="004530BB">
        <w:rPr>
          <w:rFonts w:ascii="Calibri" w:hAnsi="Calibri"/>
        </w:rPr>
        <w:t>The definitions and abbreviations have been changed and “General Directorate of Renewable Energy” has been changed to “General Directorate of Energy Affairs” and, “TETAŞ” has been changed to “EÜAŞ”.</w:t>
      </w:r>
    </w:p>
    <w:p w:rsidR="00FF62CC" w:rsidRPr="004530BB" w:rsidRDefault="00FF62CC" w:rsidP="00E37E90">
      <w:pPr>
        <w:pStyle w:val="ListeParagraf"/>
        <w:numPr>
          <w:ilvl w:val="0"/>
          <w:numId w:val="5"/>
        </w:numPr>
        <w:spacing w:line="240" w:lineRule="auto"/>
        <w:jc w:val="both"/>
        <w:rPr>
          <w:rFonts w:ascii="Calibri" w:hAnsi="Calibri"/>
        </w:rPr>
      </w:pPr>
      <w:r w:rsidRPr="004530BB">
        <w:rPr>
          <w:rFonts w:ascii="Calibri" w:hAnsi="Calibri"/>
        </w:rPr>
        <w:t>In the event that it cannot meet the required amount of electricity within the scope of the existing contracts by amending the clause (d) of the seventh paragraph (d) and the eighth clause of the same article entitled rights and obligations of the procurement license holder, the domestic It is regulated that energy can be obtained from electricity generation plants.</w:t>
      </w:r>
    </w:p>
    <w:p w:rsidR="00FF62CC" w:rsidRPr="004530BB" w:rsidRDefault="000648AD" w:rsidP="00E37E90">
      <w:pPr>
        <w:pStyle w:val="ListeParagraf"/>
        <w:numPr>
          <w:ilvl w:val="1"/>
          <w:numId w:val="2"/>
        </w:numPr>
        <w:spacing w:line="240" w:lineRule="auto"/>
        <w:jc w:val="both"/>
        <w:rPr>
          <w:rFonts w:ascii="Calibri" w:hAnsi="Calibri"/>
        </w:rPr>
      </w:pPr>
      <w:r>
        <w:rPr>
          <w:rFonts w:ascii="Calibri" w:hAnsi="Calibri"/>
        </w:rPr>
        <w:t>The Amending</w:t>
      </w:r>
      <w:r w:rsidR="00FF62CC" w:rsidRPr="004530BB">
        <w:rPr>
          <w:rFonts w:ascii="Calibri" w:hAnsi="Calibri"/>
        </w:rPr>
        <w:t xml:space="preserve"> Regulation published in the Official Gazette dated 18.01.2018 and numbered 30305 and extensive amendments were made in the Electricity Market Balancing and Settlement Regulation. The effective date of the amendments is 01.02.2018.</w:t>
      </w:r>
    </w:p>
    <w:p w:rsidR="00FF62CC" w:rsidRPr="004530BB" w:rsidRDefault="000648AD" w:rsidP="00E37E90">
      <w:pPr>
        <w:pStyle w:val="ListeParagraf"/>
        <w:numPr>
          <w:ilvl w:val="1"/>
          <w:numId w:val="2"/>
        </w:numPr>
        <w:spacing w:line="240" w:lineRule="auto"/>
        <w:jc w:val="both"/>
        <w:rPr>
          <w:rFonts w:ascii="Calibri" w:hAnsi="Calibri"/>
        </w:rPr>
      </w:pPr>
      <w:r>
        <w:rPr>
          <w:rFonts w:ascii="Calibri" w:hAnsi="Calibri"/>
        </w:rPr>
        <w:t>The Amend</w:t>
      </w:r>
      <w:r w:rsidR="005F5E6A">
        <w:rPr>
          <w:rFonts w:ascii="Calibri" w:hAnsi="Calibri"/>
        </w:rPr>
        <w:t>ing</w:t>
      </w:r>
      <w:r w:rsidR="00FF62CC" w:rsidRPr="004530BB">
        <w:rPr>
          <w:rFonts w:ascii="Calibri" w:hAnsi="Calibri"/>
        </w:rPr>
        <w:t xml:space="preserve"> Regulation published in the Official Gazette dated 06.07.2018 and numbered 30470 and the Provisional Article 1 of the Regulation on the Preparation and Implementation of Purchasing-Selling and Tendering Procedures of Electricity Distribution Companies (5) at the latest as of </w:t>
      </w:r>
      <w:r w:rsidR="004530BB" w:rsidRPr="004530BB">
        <w:rPr>
          <w:rFonts w:ascii="Calibri" w:hAnsi="Calibri"/>
        </w:rPr>
        <w:t>31.12.2018”</w:t>
      </w:r>
      <w:r w:rsidR="00FF62CC" w:rsidRPr="004530BB">
        <w:rPr>
          <w:rFonts w:ascii="Calibri" w:hAnsi="Calibri"/>
        </w:rPr>
        <w:t>.</w:t>
      </w:r>
    </w:p>
    <w:p w:rsidR="00FF62CC" w:rsidRPr="004530BB" w:rsidRDefault="00FF62CC" w:rsidP="00E37E90">
      <w:pPr>
        <w:pStyle w:val="ListeParagraf"/>
        <w:numPr>
          <w:ilvl w:val="1"/>
          <w:numId w:val="2"/>
        </w:numPr>
        <w:spacing w:line="240" w:lineRule="auto"/>
        <w:jc w:val="both"/>
        <w:rPr>
          <w:rFonts w:ascii="Calibri" w:hAnsi="Calibri"/>
        </w:rPr>
      </w:pPr>
      <w:r w:rsidRPr="004530BB">
        <w:rPr>
          <w:rFonts w:ascii="Calibri" w:hAnsi="Calibri"/>
        </w:rPr>
        <w:t xml:space="preserve">In the Regulation on Amendment published in the Official Gazette dated 17.11.2018 and numbered 30598 and in the Electricity Market Balancing and Settlement Regulation, the market participants </w:t>
      </w:r>
      <w:r w:rsidR="004530BB" w:rsidRPr="004530BB">
        <w:rPr>
          <w:rFonts w:ascii="Calibri" w:hAnsi="Calibri"/>
        </w:rPr>
        <w:t>must</w:t>
      </w:r>
      <w:r w:rsidRPr="004530BB">
        <w:rPr>
          <w:rFonts w:ascii="Calibri" w:hAnsi="Calibri"/>
        </w:rPr>
        <w:t xml:space="preserve"> register and participate in the balance responsible group; The provisions regarding collaterals were amended.</w:t>
      </w:r>
    </w:p>
    <w:p w:rsidR="00FF62CC" w:rsidRPr="00D4182C" w:rsidRDefault="005F5E6A" w:rsidP="00E37E90">
      <w:pPr>
        <w:pStyle w:val="ListeParagraf"/>
        <w:numPr>
          <w:ilvl w:val="1"/>
          <w:numId w:val="2"/>
        </w:numPr>
        <w:spacing w:line="240" w:lineRule="auto"/>
        <w:jc w:val="both"/>
        <w:rPr>
          <w:rFonts w:ascii="Calibri" w:hAnsi="Calibri"/>
        </w:rPr>
      </w:pPr>
      <w:r>
        <w:rPr>
          <w:rFonts w:ascii="Calibri" w:hAnsi="Calibri"/>
        </w:rPr>
        <w:t>Amending</w:t>
      </w:r>
      <w:r w:rsidR="00FF62CC" w:rsidRPr="00D4182C">
        <w:rPr>
          <w:rFonts w:ascii="Calibri" w:hAnsi="Calibri"/>
        </w:rPr>
        <w:t xml:space="preserve"> Regulation published in the Official Gazette dated 17.10.2018 and numbered 30568 and the second paragraph of Article 12 of the Regulation on Organization Structure and Working Principles of Energy Markets Operation Company, entitled General Manager's Qualifications and Prohibition of Work was amended.</w:t>
      </w:r>
      <w:r w:rsidR="009E4AB5" w:rsidRPr="00D4182C">
        <w:rPr>
          <w:rFonts w:ascii="Calibri" w:hAnsi="Calibri"/>
        </w:rPr>
        <w:t xml:space="preserve"> The General Manager may serve as a member of the board of directors in companies that are not directly involved in market activities that are either publicly owned or public subsidiary. The General Manager shall not take any office in public or private institutions unless it is based on a special law during his term of office. The General Manager may not be a shareholder in the companies holding licenses in the electricity and natural gas market.</w:t>
      </w:r>
    </w:p>
    <w:p w:rsidR="00D4182C" w:rsidRPr="00D4182C" w:rsidRDefault="000648AD" w:rsidP="00E37E90">
      <w:pPr>
        <w:pStyle w:val="ListeParagraf"/>
        <w:numPr>
          <w:ilvl w:val="1"/>
          <w:numId w:val="2"/>
        </w:numPr>
        <w:spacing w:line="240" w:lineRule="auto"/>
        <w:jc w:val="both"/>
        <w:rPr>
          <w:rFonts w:ascii="Calibri" w:hAnsi="Calibri"/>
        </w:rPr>
      </w:pPr>
      <w:r>
        <w:rPr>
          <w:rFonts w:ascii="Calibri" w:hAnsi="Calibri"/>
        </w:rPr>
        <w:t>Amending</w:t>
      </w:r>
      <w:r w:rsidR="009E4AB5" w:rsidRPr="00D4182C">
        <w:rPr>
          <w:rFonts w:ascii="Calibri" w:hAnsi="Calibri"/>
        </w:rPr>
        <w:t xml:space="preserve"> Regulation published in the Official Gazette dated 21.04.2018 and numbered 30398 and Article 5 titled </w:t>
      </w:r>
      <w:r w:rsidR="00F72030" w:rsidRPr="00D4182C">
        <w:rPr>
          <w:rFonts w:ascii="Calibri" w:hAnsi="Calibri"/>
        </w:rPr>
        <w:t>“</w:t>
      </w:r>
      <w:r w:rsidR="009E4AB5" w:rsidRPr="00D4182C">
        <w:rPr>
          <w:rFonts w:ascii="Calibri" w:hAnsi="Calibri"/>
        </w:rPr>
        <w:t xml:space="preserve">Applications to register to </w:t>
      </w:r>
      <w:r w:rsidR="00D4182C">
        <w:rPr>
          <w:rFonts w:ascii="Calibri" w:hAnsi="Calibri"/>
        </w:rPr>
        <w:t xml:space="preserve">RES </w:t>
      </w:r>
      <w:r w:rsidR="00302EAB">
        <w:rPr>
          <w:rFonts w:ascii="Calibri" w:hAnsi="Calibri"/>
        </w:rPr>
        <w:t>Support</w:t>
      </w:r>
      <w:r w:rsidR="00D4182C">
        <w:rPr>
          <w:rFonts w:ascii="Calibri" w:hAnsi="Calibri"/>
        </w:rPr>
        <w:t xml:space="preserve"> </w:t>
      </w:r>
      <w:r w:rsidR="00302EAB">
        <w:rPr>
          <w:rFonts w:ascii="Calibri" w:hAnsi="Calibri"/>
        </w:rPr>
        <w:t>Mechanism</w:t>
      </w:r>
      <w:r w:rsidR="00F72030" w:rsidRPr="00D4182C">
        <w:rPr>
          <w:rFonts w:ascii="Calibri" w:hAnsi="Calibri"/>
        </w:rPr>
        <w:t xml:space="preserve">” </w:t>
      </w:r>
      <w:r w:rsidR="009E4AB5" w:rsidRPr="00D4182C">
        <w:rPr>
          <w:rFonts w:ascii="Calibri" w:hAnsi="Calibri"/>
        </w:rPr>
        <w:t xml:space="preserve">and 6 Objections to </w:t>
      </w:r>
      <w:r w:rsidR="00D4182C">
        <w:rPr>
          <w:rFonts w:ascii="Calibri" w:hAnsi="Calibri"/>
        </w:rPr>
        <w:t xml:space="preserve">RES </w:t>
      </w:r>
      <w:r w:rsidR="00302EAB">
        <w:rPr>
          <w:rFonts w:ascii="Calibri" w:hAnsi="Calibri"/>
        </w:rPr>
        <w:t>Support</w:t>
      </w:r>
      <w:r w:rsidR="00D4182C">
        <w:rPr>
          <w:rFonts w:ascii="Calibri" w:hAnsi="Calibri"/>
        </w:rPr>
        <w:t xml:space="preserve"> </w:t>
      </w:r>
      <w:r w:rsidR="00302EAB">
        <w:rPr>
          <w:rFonts w:ascii="Calibri" w:hAnsi="Calibri"/>
        </w:rPr>
        <w:t>Mechanism</w:t>
      </w:r>
      <w:r w:rsidR="009E4AB5" w:rsidRPr="00D4182C">
        <w:rPr>
          <w:rFonts w:ascii="Calibri" w:hAnsi="Calibri"/>
        </w:rPr>
        <w:t xml:space="preserve"> registration applications and finalization of objections mad of the Regulation on Certification and Support of Renewable Energy Resources and Annex 1 of the Regulation has been repealed. The amendments are in effect as of the date of publication.</w:t>
      </w:r>
    </w:p>
    <w:p w:rsidR="00F72030" w:rsidRDefault="00F72030" w:rsidP="00E37E90">
      <w:pPr>
        <w:pStyle w:val="ListeParagraf"/>
        <w:numPr>
          <w:ilvl w:val="1"/>
          <w:numId w:val="2"/>
        </w:numPr>
        <w:spacing w:line="240" w:lineRule="auto"/>
        <w:jc w:val="both"/>
        <w:rPr>
          <w:rFonts w:ascii="Calibri" w:hAnsi="Calibri"/>
        </w:rPr>
      </w:pPr>
      <w:r w:rsidRPr="00D4182C">
        <w:rPr>
          <w:rFonts w:ascii="Calibri" w:hAnsi="Calibri"/>
        </w:rPr>
        <w:t xml:space="preserve">The definition of “Competition Regulation” was added to the Regulation on Amendment to the Official Gazette dated 09.10.2018 and numbered 30560 and the Regulation on Certification and Support of Renewable Energy Resources and amendments were made to the calculation of the payment obligation ratio and the calculation and allocation of </w:t>
      </w:r>
      <w:r w:rsidR="00D4182C">
        <w:rPr>
          <w:rFonts w:ascii="Calibri" w:hAnsi="Calibri"/>
        </w:rPr>
        <w:t xml:space="preserve">RES </w:t>
      </w:r>
      <w:r w:rsidR="00302EAB">
        <w:rPr>
          <w:rFonts w:ascii="Calibri" w:hAnsi="Calibri"/>
        </w:rPr>
        <w:t>Support</w:t>
      </w:r>
      <w:r w:rsidR="00D4182C">
        <w:rPr>
          <w:rFonts w:ascii="Calibri" w:hAnsi="Calibri"/>
        </w:rPr>
        <w:t xml:space="preserve"> </w:t>
      </w:r>
      <w:r w:rsidR="00302EAB">
        <w:rPr>
          <w:rFonts w:ascii="Calibri" w:hAnsi="Calibri"/>
        </w:rPr>
        <w:t>Mechanism</w:t>
      </w:r>
      <w:r w:rsidRPr="00D4182C">
        <w:rPr>
          <w:rFonts w:ascii="Calibri" w:hAnsi="Calibri"/>
        </w:rPr>
        <w:t xml:space="preserve"> portfolio revenue. The amendments are effective as of 01/01/2019.</w:t>
      </w:r>
    </w:p>
    <w:p w:rsidR="00F72030" w:rsidRDefault="000648AD" w:rsidP="00E37E90">
      <w:pPr>
        <w:pStyle w:val="ListeParagraf"/>
        <w:numPr>
          <w:ilvl w:val="1"/>
          <w:numId w:val="2"/>
        </w:numPr>
        <w:spacing w:line="240" w:lineRule="auto"/>
        <w:jc w:val="both"/>
        <w:rPr>
          <w:rFonts w:ascii="Calibri" w:hAnsi="Calibri"/>
        </w:rPr>
      </w:pPr>
      <w:r>
        <w:rPr>
          <w:rFonts w:ascii="Calibri" w:hAnsi="Calibri"/>
        </w:rPr>
        <w:t>Amending</w:t>
      </w:r>
      <w:r w:rsidR="00D4182C" w:rsidRPr="00D4182C">
        <w:rPr>
          <w:rFonts w:ascii="Calibri" w:hAnsi="Calibri"/>
        </w:rPr>
        <w:t xml:space="preserve"> Regulation published in the Official Gazette dated 17.01.2018 and numbered 30304 and the Regulation on Unlicensed Electricity Generation in the Electricity Market have been amended and the provisions regarding the distance of the generation facility to the existing network are regulated.</w:t>
      </w:r>
      <w:r w:rsidR="00D4182C">
        <w:rPr>
          <w:rFonts w:ascii="Calibri" w:hAnsi="Calibri"/>
        </w:rPr>
        <w:t xml:space="preserve"> </w:t>
      </w:r>
      <w:r w:rsidR="00D4182C" w:rsidRPr="00D4182C">
        <w:rPr>
          <w:rFonts w:ascii="Calibri" w:hAnsi="Calibri"/>
        </w:rPr>
        <w:t>The provisions of Commissioning of Production Facilities and Transfer of Production Facilities were amended.</w:t>
      </w:r>
      <w:r w:rsidR="00D4182C">
        <w:rPr>
          <w:rFonts w:ascii="Calibri" w:hAnsi="Calibri"/>
        </w:rPr>
        <w:t xml:space="preserve"> </w:t>
      </w:r>
    </w:p>
    <w:p w:rsidR="00E53D55" w:rsidRDefault="000648AD" w:rsidP="00E37E90">
      <w:pPr>
        <w:pStyle w:val="ListeParagraf"/>
        <w:numPr>
          <w:ilvl w:val="1"/>
          <w:numId w:val="2"/>
        </w:numPr>
        <w:spacing w:line="240" w:lineRule="auto"/>
        <w:jc w:val="both"/>
        <w:rPr>
          <w:rFonts w:ascii="Calibri" w:hAnsi="Calibri"/>
        </w:rPr>
      </w:pPr>
      <w:r>
        <w:rPr>
          <w:rFonts w:ascii="Calibri" w:hAnsi="Calibri"/>
        </w:rPr>
        <w:t>The Amending</w:t>
      </w:r>
      <w:r w:rsidR="00766D65" w:rsidRPr="00766D65">
        <w:rPr>
          <w:rFonts w:ascii="Calibri" w:hAnsi="Calibri"/>
        </w:rPr>
        <w:t xml:space="preserve"> Regulation published in the Official Gazette dated 09.10.2018 and numbered 30560 and the Regulation on the Quality of Service Regarding Electricity Distribution and Retail Sales</w:t>
      </w:r>
      <w:r w:rsidR="009D23D8">
        <w:rPr>
          <w:rFonts w:ascii="Calibri" w:hAnsi="Calibri"/>
        </w:rPr>
        <w:t xml:space="preserve">, </w:t>
      </w:r>
      <w:r w:rsidR="009D23D8" w:rsidRPr="009D23D8">
        <w:rPr>
          <w:rFonts w:ascii="Calibri" w:hAnsi="Calibri"/>
        </w:rPr>
        <w:t>classification of interruptions, start and end time of interruptions, number of users affected by interruptions and verification of recorded information, ensuring security and reliability</w:t>
      </w:r>
      <w:r w:rsidR="00766D65" w:rsidRPr="00766D65">
        <w:rPr>
          <w:rFonts w:ascii="Calibri" w:hAnsi="Calibri"/>
        </w:rPr>
        <w:t xml:space="preserve"> have been amended to record data on the quality of supply continuity.</w:t>
      </w:r>
    </w:p>
    <w:p w:rsidR="009D23D8" w:rsidRDefault="005B4E3A" w:rsidP="00E37E90">
      <w:pPr>
        <w:pStyle w:val="ListeParagraf"/>
        <w:numPr>
          <w:ilvl w:val="1"/>
          <w:numId w:val="2"/>
        </w:numPr>
        <w:spacing w:line="240" w:lineRule="auto"/>
        <w:jc w:val="both"/>
        <w:rPr>
          <w:rFonts w:ascii="Calibri" w:hAnsi="Calibri"/>
        </w:rPr>
      </w:pPr>
      <w:r w:rsidRPr="005B4E3A">
        <w:rPr>
          <w:rFonts w:ascii="Calibri" w:hAnsi="Calibri"/>
        </w:rPr>
        <w:t xml:space="preserve">The </w:t>
      </w:r>
      <w:r w:rsidR="000648AD">
        <w:rPr>
          <w:rFonts w:ascii="Calibri" w:hAnsi="Calibri"/>
        </w:rPr>
        <w:t>Amending Regulation</w:t>
      </w:r>
      <w:r w:rsidRPr="005B4E3A">
        <w:rPr>
          <w:rFonts w:ascii="Calibri" w:hAnsi="Calibri"/>
        </w:rPr>
        <w:t xml:space="preserve"> published in the Official Gazette dated 30.12.2018 and numbered 30641 has been amended by the Provisional Article 26 of the Electricity Market License Regulation</w:t>
      </w:r>
      <w:r>
        <w:rPr>
          <w:rFonts w:ascii="Calibri" w:hAnsi="Calibri"/>
        </w:rPr>
        <w:t xml:space="preserve"> entitled </w:t>
      </w:r>
      <w:r w:rsidRPr="005B4E3A">
        <w:rPr>
          <w:rFonts w:ascii="Calibri" w:hAnsi="Calibri"/>
        </w:rPr>
        <w:t>Preliminary Project Approval.</w:t>
      </w:r>
      <w:r>
        <w:rPr>
          <w:rFonts w:ascii="Calibri" w:hAnsi="Calibri"/>
        </w:rPr>
        <w:t xml:space="preserve"> </w:t>
      </w:r>
      <w:r w:rsidRPr="005B4E3A">
        <w:rPr>
          <w:rFonts w:ascii="Calibri" w:hAnsi="Calibri"/>
        </w:rPr>
        <w:t>The amendment relates to the extension of the date on which the preliminary project approval may be submitted to 31/12/2019 instead of the project or solid project approval required for the construction of the production facility.</w:t>
      </w:r>
    </w:p>
    <w:p w:rsidR="005B4E3A" w:rsidRPr="008531CD" w:rsidRDefault="005B4E3A" w:rsidP="008531CD">
      <w:pPr>
        <w:pStyle w:val="Balk3"/>
      </w:pPr>
      <w:bookmarkStart w:id="25" w:name="_Toc12956298"/>
      <w:r w:rsidRPr="008531CD">
        <w:t>2.1.3</w:t>
      </w:r>
      <w:r w:rsidR="004530BB" w:rsidRPr="008531CD">
        <w:t>.</w:t>
      </w:r>
      <w:r w:rsidRPr="008531CD">
        <w:t xml:space="preserve"> Communiqués</w:t>
      </w:r>
      <w:bookmarkEnd w:id="25"/>
    </w:p>
    <w:p w:rsidR="00290CB0" w:rsidRDefault="005F5E6A" w:rsidP="00E37E90">
      <w:pPr>
        <w:pStyle w:val="ListeParagraf"/>
        <w:numPr>
          <w:ilvl w:val="0"/>
          <w:numId w:val="6"/>
        </w:numPr>
        <w:spacing w:line="240" w:lineRule="auto"/>
        <w:jc w:val="both"/>
        <w:rPr>
          <w:rFonts w:ascii="Calibri" w:hAnsi="Calibri"/>
        </w:rPr>
      </w:pPr>
      <w:r>
        <w:rPr>
          <w:rFonts w:ascii="Calibri" w:hAnsi="Calibri"/>
        </w:rPr>
        <w:t>The Amending</w:t>
      </w:r>
      <w:r w:rsidR="00290CB0" w:rsidRPr="00ED4E5B">
        <w:rPr>
          <w:rFonts w:ascii="Calibri" w:hAnsi="Calibri"/>
        </w:rPr>
        <w:t xml:space="preserve"> Communiqué published in the Official Gazette dated 08.11.2018 and numbered 30589 and the 9th article of the Communiqué on Price Equalization Mechanism, the priority of payment of support amounts were amended.</w:t>
      </w:r>
    </w:p>
    <w:p w:rsidR="00ED4E5B" w:rsidRDefault="00ED4E5B" w:rsidP="00E37E90">
      <w:pPr>
        <w:pStyle w:val="ListeParagraf"/>
        <w:numPr>
          <w:ilvl w:val="0"/>
          <w:numId w:val="6"/>
        </w:numPr>
        <w:spacing w:line="240" w:lineRule="auto"/>
        <w:jc w:val="both"/>
        <w:rPr>
          <w:rFonts w:ascii="Calibri" w:hAnsi="Calibri"/>
        </w:rPr>
      </w:pPr>
      <w:r w:rsidRPr="00ED4E5B">
        <w:rPr>
          <w:rFonts w:ascii="Calibri" w:hAnsi="Calibri"/>
        </w:rPr>
        <w:t>In the Communiqué on Regulation on Retail Energy Sales Prices published in the Official Gazette dated 13.03.2018 and numbered 30359, the defin</w:t>
      </w:r>
      <w:r>
        <w:rPr>
          <w:rFonts w:ascii="Calibri" w:hAnsi="Calibri"/>
        </w:rPr>
        <w:t>ition Ω1 in Article 17 titled scope of energy supply cost is</w:t>
      </w:r>
      <w:r w:rsidRPr="00ED4E5B">
        <w:rPr>
          <w:rFonts w:ascii="Calibri" w:hAnsi="Calibri"/>
        </w:rPr>
        <w:t xml:space="preserve"> amended as follows.</w:t>
      </w:r>
    </w:p>
    <w:p w:rsidR="00ED4E5B" w:rsidRDefault="00ED4E5B" w:rsidP="00B5324E">
      <w:pPr>
        <w:spacing w:after="0" w:line="240" w:lineRule="auto"/>
        <w:ind w:left="1701"/>
        <w:jc w:val="both"/>
        <w:rPr>
          <w:i/>
        </w:rPr>
      </w:pPr>
      <w:r>
        <w:rPr>
          <w:rFonts w:ascii="Calibri" w:hAnsi="Calibri"/>
        </w:rPr>
        <w:t xml:space="preserve"> </w:t>
      </w:r>
      <w:r>
        <w:rPr>
          <w:i/>
        </w:rPr>
        <w:t>“…</w:t>
      </w:r>
    </w:p>
    <w:p w:rsidR="00ED4E5B" w:rsidRDefault="00ED4E5B" w:rsidP="00B5324E">
      <w:pPr>
        <w:pStyle w:val="ListeParagraf"/>
        <w:spacing w:line="240" w:lineRule="auto"/>
        <w:ind w:left="1701"/>
        <w:jc w:val="both"/>
        <w:rPr>
          <w:i/>
        </w:rPr>
      </w:pPr>
      <w:r>
        <w:rPr>
          <w:i/>
        </w:rPr>
        <w:t>Ω1</w:t>
      </w:r>
      <w:r>
        <w:rPr>
          <w:i/>
        </w:rPr>
        <w:tab/>
        <w:t xml:space="preserve">: </w:t>
      </w:r>
      <w:r w:rsidR="00E74209">
        <w:rPr>
          <w:i/>
        </w:rPr>
        <w:t xml:space="preserve">Within the scope of the RESSUM (a, d represents the first moth of the retail sales tariff period) started from the month (a-1) realization of the not price reflected </w:t>
      </w:r>
      <w:r w:rsidR="00A06D11">
        <w:rPr>
          <w:i/>
        </w:rPr>
        <w:t>to the responsible supply company in the months not previously included in the calculations, in the absence of realizations foreseen for future revisions, the updated value of the remaining portion of the tariff regulated consumes with the interest rate for the elapsed time,</w:t>
      </w:r>
    </w:p>
    <w:p w:rsidR="00A06D11" w:rsidRDefault="00A06D11" w:rsidP="00B5324E">
      <w:pPr>
        <w:pStyle w:val="ListeParagraf"/>
        <w:spacing w:line="240" w:lineRule="auto"/>
        <w:ind w:left="1701"/>
        <w:jc w:val="both"/>
        <w:rPr>
          <w:i/>
        </w:rPr>
      </w:pPr>
      <w:r>
        <w:rPr>
          <w:i/>
        </w:rPr>
        <w:t>…”</w:t>
      </w:r>
    </w:p>
    <w:p w:rsidR="00010098" w:rsidRDefault="00010098" w:rsidP="00E37E90">
      <w:pPr>
        <w:pStyle w:val="ListeParagraf"/>
        <w:numPr>
          <w:ilvl w:val="0"/>
          <w:numId w:val="7"/>
        </w:numPr>
        <w:spacing w:line="240" w:lineRule="auto"/>
        <w:jc w:val="both"/>
        <w:rPr>
          <w:rFonts w:ascii="Calibri" w:hAnsi="Calibri"/>
        </w:rPr>
      </w:pPr>
      <w:r w:rsidRPr="00010098">
        <w:rPr>
          <w:rFonts w:ascii="Calibri" w:hAnsi="Calibri"/>
        </w:rPr>
        <w:t>Communiqué on Regulation of Retail Energy Sales Prices with the Communiqué on Amendment published in the Official Gazette dated 31.08.2018 and numbered 30521</w:t>
      </w:r>
    </w:p>
    <w:p w:rsidR="00010098" w:rsidRPr="00866413" w:rsidRDefault="00010098" w:rsidP="00E37E90">
      <w:pPr>
        <w:pStyle w:val="ListeParagraf"/>
        <w:numPr>
          <w:ilvl w:val="0"/>
          <w:numId w:val="8"/>
        </w:numPr>
        <w:spacing w:line="240" w:lineRule="auto"/>
        <w:jc w:val="both"/>
        <w:rPr>
          <w:rFonts w:ascii="Calibri" w:hAnsi="Calibri"/>
        </w:rPr>
      </w:pPr>
      <w:r w:rsidRPr="00866413">
        <w:rPr>
          <w:rFonts w:ascii="Calibri" w:hAnsi="Calibri"/>
        </w:rPr>
        <w:t>The explanations regarding art Ω1, Ω2, Ω3 and Ω4 in the first paragraph of article 17 titled Scope of energy supply cost have been changed as follows.</w:t>
      </w:r>
    </w:p>
    <w:p w:rsidR="00010098" w:rsidRPr="00866413" w:rsidRDefault="00010098" w:rsidP="00B5324E">
      <w:pPr>
        <w:pStyle w:val="ListeParagraf"/>
        <w:spacing w:line="240" w:lineRule="auto"/>
        <w:ind w:left="2520"/>
        <w:jc w:val="both"/>
      </w:pPr>
      <w:r w:rsidRPr="00866413">
        <w:t>“Ω1</w:t>
      </w:r>
      <w:r w:rsidRPr="00866413">
        <w:tab/>
        <w:t xml:space="preserve">: </w:t>
      </w:r>
      <w:r w:rsidR="008C543E" w:rsidRPr="00866413">
        <w:t>Estimates of the remaining amount of the net price to be reflected to the procurement company within the scope of YEKDEM for the remaining portion of the tariffs to be corrected later for months in retail tariff period d,</w:t>
      </w:r>
    </w:p>
    <w:p w:rsidR="005375A4" w:rsidRPr="00866413" w:rsidRDefault="0011731E" w:rsidP="00B5324E">
      <w:pPr>
        <w:pStyle w:val="ListeParagraf"/>
        <w:spacing w:line="240" w:lineRule="auto"/>
        <w:ind w:left="2520"/>
        <w:jc w:val="both"/>
      </w:pPr>
      <w:r w:rsidRPr="00866413">
        <w:t xml:space="preserve">“Ω2: </w:t>
      </w:r>
      <w:r w:rsidR="00866413" w:rsidRPr="00866413">
        <w:t>invoicing to retail license holders by market operating license holders within the scope of transactions in organized wholesale markets, retrospective adjustment, market operating fee, transmission surcharge, share of unpaid receivables, differences fund and the items that are approved by the Board</w:t>
      </w:r>
      <w:r w:rsidR="00866413">
        <w:t xml:space="preserve">, the provision </w:t>
      </w:r>
      <w:r w:rsidR="004A3AE0">
        <w:t>of the items deemed ap</w:t>
      </w:r>
      <w:r w:rsidR="005375A4">
        <w:t xml:space="preserve">propriate by the Board for the remainder of the tariff for the regulated consumers are taken into consideration </w:t>
      </w:r>
      <w:r w:rsidR="005375A4" w:rsidRPr="00866413">
        <w:t>for months in retail tariff period d,</w:t>
      </w:r>
      <w:r w:rsidR="00193C89">
        <w:t>”</w:t>
      </w:r>
    </w:p>
    <w:p w:rsidR="00193C89" w:rsidRPr="00866413" w:rsidRDefault="005375A4" w:rsidP="00B5324E">
      <w:pPr>
        <w:pStyle w:val="ListeParagraf"/>
        <w:spacing w:line="240" w:lineRule="auto"/>
        <w:ind w:left="2520"/>
        <w:jc w:val="both"/>
      </w:pPr>
      <w:r>
        <w:t>“Ω3</w:t>
      </w:r>
      <w:r w:rsidRPr="00866413">
        <w:tab/>
        <w:t>:</w:t>
      </w:r>
      <w:r>
        <w:t xml:space="preserve"> </w:t>
      </w:r>
      <w:r w:rsidR="00193C89">
        <w:t xml:space="preserve">Within the scope of the dual price application in Balancing and Settlement Regulation </w:t>
      </w:r>
      <w:r w:rsidR="00193C89" w:rsidRPr="00193C89">
        <w:t>the projections of the system energy imbalance income item calculated by the market operator by multiplying the resulting difference with the zero balance adjustment coefficient of the retail sales license holder in the related months for the remaining portion of</w:t>
      </w:r>
      <w:r w:rsidR="00193C89">
        <w:t xml:space="preserve"> the tariff regulated consumers </w:t>
      </w:r>
      <w:r w:rsidR="00193C89" w:rsidRPr="00866413">
        <w:t>for months in retail tariff period d,</w:t>
      </w:r>
      <w:r w:rsidR="00193C89">
        <w:t>”</w:t>
      </w:r>
    </w:p>
    <w:p w:rsidR="0011731E" w:rsidRDefault="00193C89" w:rsidP="00B5324E">
      <w:pPr>
        <w:pStyle w:val="ListeParagraf"/>
        <w:spacing w:line="240" w:lineRule="auto"/>
        <w:ind w:left="2520"/>
        <w:jc w:val="both"/>
      </w:pPr>
      <w:r>
        <w:t>“Ω4</w:t>
      </w:r>
      <w:r w:rsidRPr="00866413">
        <w:t>:</w:t>
      </w:r>
      <w:r>
        <w:t xml:space="preserve"> </w:t>
      </w:r>
      <w:r w:rsidRPr="00193C89">
        <w:t>the energy supply correction component calculated according</w:t>
      </w:r>
      <w:r>
        <w:t xml:space="preserve"> to equation (17) for months in retail tariff period d,”</w:t>
      </w:r>
    </w:p>
    <w:p w:rsidR="00193C89" w:rsidRDefault="00B5324E" w:rsidP="00B5324E">
      <w:pPr>
        <w:pStyle w:val="ListeParagraf"/>
        <w:spacing w:line="240" w:lineRule="auto"/>
        <w:ind w:left="2520"/>
        <w:jc w:val="both"/>
        <w:rPr>
          <w:rFonts w:ascii="Calibri" w:hAnsi="Calibri"/>
        </w:rPr>
      </w:pPr>
      <w:r w:rsidRPr="00B5324E">
        <w:rPr>
          <w:rFonts w:ascii="Calibri" w:hAnsi="Calibri"/>
        </w:rPr>
        <w:t>“The energy supply correction component is calculated according to the following equation (17):”</w:t>
      </w:r>
    </w:p>
    <w:p w:rsidR="00B5324E" w:rsidRDefault="00B5324E" w:rsidP="00B5324E">
      <w:pPr>
        <w:pStyle w:val="ListeParagraf"/>
        <w:spacing w:line="240" w:lineRule="auto"/>
        <w:ind w:left="2520"/>
        <w:jc w:val="both"/>
        <w:rPr>
          <w:rFonts w:ascii="Calibri" w:hAnsi="Calibri"/>
        </w:rPr>
      </w:pPr>
      <w:r w:rsidRPr="00B5324E">
        <w:rPr>
          <w:rFonts w:ascii="Calibri" w:hAnsi="Calibri"/>
        </w:rPr>
        <w:t>“(2) Different arrangements regarding the calculation and implementation of the energy supply correction component may be made where the Board deems necessary, including foreseen and high realization differences, and the differences may be reflected to the tariffs earlier.”</w:t>
      </w:r>
    </w:p>
    <w:p w:rsidR="00B5324E" w:rsidRDefault="00B5324E" w:rsidP="00E37E90">
      <w:pPr>
        <w:pStyle w:val="ListeParagraf"/>
        <w:numPr>
          <w:ilvl w:val="0"/>
          <w:numId w:val="7"/>
        </w:numPr>
        <w:spacing w:line="240" w:lineRule="auto"/>
        <w:jc w:val="both"/>
        <w:rPr>
          <w:rFonts w:ascii="Calibri" w:hAnsi="Calibri"/>
        </w:rPr>
      </w:pPr>
      <w:r w:rsidRPr="00B5324E">
        <w:rPr>
          <w:rFonts w:ascii="Calibri" w:hAnsi="Calibri"/>
        </w:rPr>
        <w:t>The Communiqué on the publication of the last resource supply tariff in the Official Gazette dated 20.01.2018 and numbered 30307 was published and entered into force. The purpose of the Communiqué is to regulate the procedures and principles regarding the determination of the final source supply tariff within the scope of supply of electricity to consumers who do not provide electricity through bilateral agreements although they are eligible consumers.</w:t>
      </w:r>
    </w:p>
    <w:p w:rsidR="00B5324E" w:rsidRDefault="00B5324E" w:rsidP="00E37E90">
      <w:pPr>
        <w:pStyle w:val="ListeParagraf"/>
        <w:numPr>
          <w:ilvl w:val="0"/>
          <w:numId w:val="7"/>
        </w:numPr>
        <w:spacing w:line="240" w:lineRule="auto"/>
        <w:jc w:val="both"/>
        <w:rPr>
          <w:rFonts w:ascii="Calibri" w:hAnsi="Calibri"/>
        </w:rPr>
      </w:pPr>
      <w:r w:rsidRPr="00B5324E">
        <w:rPr>
          <w:rFonts w:ascii="Calibri" w:hAnsi="Calibri"/>
        </w:rPr>
        <w:t>Pursuant to Article 16 of the Electricity Market Law No. 6446 published in the Official Gazette dated 21.12.2018 and numbered 30632, the Communiqué on Fines to be Applied in 2019 entered into force as of 01.01.2019.</w:t>
      </w:r>
    </w:p>
    <w:p w:rsidR="00B5324E" w:rsidRPr="008531CD" w:rsidRDefault="00B5324E" w:rsidP="008531CD">
      <w:pPr>
        <w:pStyle w:val="Balk3"/>
      </w:pPr>
      <w:bookmarkStart w:id="26" w:name="_Toc12956299"/>
      <w:r w:rsidRPr="008531CD">
        <w:t>2.1.4 Board Decisions</w:t>
      </w:r>
      <w:bookmarkEnd w:id="26"/>
    </w:p>
    <w:p w:rsidR="00B5324E" w:rsidRPr="000420E2" w:rsidRDefault="00F56FE6" w:rsidP="00E37E90">
      <w:pPr>
        <w:pStyle w:val="ListeParagraf"/>
        <w:numPr>
          <w:ilvl w:val="0"/>
          <w:numId w:val="9"/>
        </w:numPr>
        <w:spacing w:line="240" w:lineRule="auto"/>
        <w:jc w:val="both"/>
        <w:rPr>
          <w:rFonts w:ascii="Calibri" w:hAnsi="Calibri"/>
        </w:rPr>
      </w:pPr>
      <w:r w:rsidRPr="008F78DD">
        <w:rPr>
          <w:rFonts w:ascii="Calibri" w:hAnsi="Calibri"/>
        </w:rPr>
        <w:t xml:space="preserve">With the Board Decision dated 20.12.2018 and numbered 8261 published in the Official Gazette dated 23.12.2018 and numbered 30634, the provisions of paragraph (b) of the sixth paragraph of Article 5 of the Law No. 4628 on the Organization and Duties of the Energy Market Regulatory Authority and the provisions of Article 25 of the Electricity Market Consumer Services Regulation in accordance with 2019, the consumer limit for the year 2016 was decided to be applied as 1,600 kWh. The theoretical market openness ratio corresponding </w:t>
      </w:r>
      <w:r w:rsidRPr="000420E2">
        <w:rPr>
          <w:rFonts w:ascii="Calibri" w:hAnsi="Calibri"/>
        </w:rPr>
        <w:t>to this limit is calculated as 95.4%.</w:t>
      </w:r>
    </w:p>
    <w:p w:rsidR="008F78DD" w:rsidRPr="000420E2" w:rsidRDefault="008F78DD" w:rsidP="008F78DD">
      <w:pPr>
        <w:spacing w:line="240" w:lineRule="auto"/>
        <w:ind w:left="720"/>
        <w:jc w:val="both"/>
        <w:rPr>
          <w:rFonts w:ascii="Calibri" w:hAnsi="Calibri"/>
        </w:rPr>
      </w:pPr>
      <w:r w:rsidRPr="000420E2">
        <w:rPr>
          <w:rFonts w:ascii="Calibri" w:hAnsi="Calibri"/>
        </w:rPr>
        <w:t>The change in the eligible consumer limit in the electricity market by years is given in Table 2.1.</w:t>
      </w:r>
    </w:p>
    <w:p w:rsidR="008F78DD" w:rsidRPr="0055522A" w:rsidRDefault="008F78DD" w:rsidP="0055522A">
      <w:pPr>
        <w:pStyle w:val="Balk5"/>
        <w:rPr>
          <w:rStyle w:val="Gl"/>
          <w:b/>
          <w:bCs w:val="0"/>
        </w:rPr>
      </w:pPr>
      <w:bookmarkStart w:id="27" w:name="_Toc416447569"/>
      <w:bookmarkStart w:id="28" w:name="_Toc442441726"/>
      <w:bookmarkStart w:id="29" w:name="_Toc447206576"/>
      <w:bookmarkStart w:id="30" w:name="_Toc505346154"/>
      <w:bookmarkStart w:id="31" w:name="_Toc512874124"/>
      <w:bookmarkStart w:id="32" w:name="_Toc12958467"/>
      <w:r w:rsidRPr="0055522A">
        <w:rPr>
          <w:rStyle w:val="Gl"/>
          <w:b/>
          <w:bCs w:val="0"/>
        </w:rPr>
        <w:t>Table 2.1: The change of eligible consumer limit in the electricity market by years</w:t>
      </w:r>
      <w:bookmarkStart w:id="33" w:name="_Toc416447570"/>
      <w:bookmarkEnd w:id="27"/>
      <w:r w:rsidRPr="0055522A">
        <w:rPr>
          <w:rStyle w:val="Gl"/>
          <w:b/>
          <w:bCs w:val="0"/>
        </w:rPr>
        <w:t>(2003-2019)</w:t>
      </w:r>
      <w:bookmarkEnd w:id="28"/>
      <w:bookmarkEnd w:id="29"/>
      <w:bookmarkEnd w:id="30"/>
      <w:bookmarkEnd w:id="31"/>
      <w:bookmarkEnd w:id="32"/>
      <w:bookmarkEnd w:id="33"/>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21"/>
        <w:gridCol w:w="2221"/>
        <w:gridCol w:w="2221"/>
      </w:tblGrid>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8F78DD" w:rsidRPr="000420E2" w:rsidRDefault="008F78DD">
            <w:pPr>
              <w:pStyle w:val="ListeParagraf"/>
              <w:tabs>
                <w:tab w:val="left" w:pos="284"/>
                <w:tab w:val="left" w:pos="567"/>
                <w:tab w:val="left" w:pos="709"/>
                <w:tab w:val="left" w:pos="851"/>
              </w:tabs>
              <w:ind w:left="0"/>
              <w:jc w:val="center"/>
              <w:rPr>
                <w:b/>
                <w:color w:val="FFFFFF" w:themeColor="background1"/>
                <w:sz w:val="21"/>
                <w:szCs w:val="21"/>
              </w:rPr>
            </w:pPr>
            <w:r w:rsidRPr="000420E2">
              <w:rPr>
                <w:b/>
                <w:color w:val="FFFFFF" w:themeColor="background1"/>
                <w:sz w:val="21"/>
                <w:szCs w:val="21"/>
              </w:rPr>
              <w:t>Year</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8F78DD" w:rsidRPr="000420E2" w:rsidRDefault="008F78DD">
            <w:pPr>
              <w:pStyle w:val="ListeParagraf"/>
              <w:tabs>
                <w:tab w:val="left" w:pos="284"/>
                <w:tab w:val="left" w:pos="567"/>
                <w:tab w:val="left" w:pos="709"/>
                <w:tab w:val="left" w:pos="851"/>
              </w:tabs>
              <w:ind w:left="0"/>
              <w:jc w:val="center"/>
              <w:rPr>
                <w:b/>
                <w:color w:val="FFFFFF" w:themeColor="background1"/>
                <w:sz w:val="21"/>
                <w:szCs w:val="21"/>
              </w:rPr>
            </w:pPr>
            <w:r w:rsidRPr="000420E2">
              <w:rPr>
                <w:b/>
                <w:color w:val="FFFFFF" w:themeColor="background1"/>
                <w:sz w:val="21"/>
                <w:szCs w:val="21"/>
              </w:rPr>
              <w:t>Eligible Consumer Limit (kWh)</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8F78DD" w:rsidRPr="000420E2" w:rsidRDefault="008F78DD">
            <w:pPr>
              <w:pStyle w:val="ListeParagraf"/>
              <w:tabs>
                <w:tab w:val="left" w:pos="284"/>
                <w:tab w:val="left" w:pos="567"/>
                <w:tab w:val="left" w:pos="709"/>
                <w:tab w:val="left" w:pos="851"/>
              </w:tabs>
              <w:ind w:left="0"/>
              <w:jc w:val="center"/>
              <w:rPr>
                <w:b/>
                <w:color w:val="FFFFFF" w:themeColor="background1"/>
                <w:sz w:val="21"/>
                <w:szCs w:val="21"/>
              </w:rPr>
            </w:pPr>
            <w:r w:rsidRPr="000420E2">
              <w:rPr>
                <w:b/>
                <w:color w:val="FFFFFF" w:themeColor="background1"/>
                <w:sz w:val="21"/>
                <w:szCs w:val="21"/>
              </w:rPr>
              <w:t>Theoretical Market Opening</w:t>
            </w:r>
          </w:p>
          <w:p w:rsidR="008F78DD" w:rsidRPr="000420E2" w:rsidRDefault="008F78DD">
            <w:pPr>
              <w:pStyle w:val="ListeParagraf"/>
              <w:tabs>
                <w:tab w:val="left" w:pos="284"/>
                <w:tab w:val="left" w:pos="567"/>
                <w:tab w:val="left" w:pos="709"/>
                <w:tab w:val="left" w:pos="851"/>
              </w:tabs>
              <w:ind w:left="0"/>
              <w:jc w:val="center"/>
              <w:rPr>
                <w:b/>
                <w:color w:val="FFFFFF" w:themeColor="background1"/>
                <w:sz w:val="21"/>
                <w:szCs w:val="21"/>
              </w:rPr>
            </w:pPr>
            <w:r w:rsidRPr="000420E2">
              <w:rPr>
                <w:b/>
                <w:color w:val="FFFFFF" w:themeColor="background1"/>
                <w:sz w:val="21"/>
                <w:szCs w:val="21"/>
              </w:rPr>
              <w:t>Ratio (%)</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2003</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9.000.000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2004</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7.800.000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27,8</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2005</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7.700.000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30</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2006</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6.000.000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32</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2007</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3.000.000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38,6</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2008</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1.200.000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41</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2009</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480.000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49,2</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100.000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63,3</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2011</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30.000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78</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2012</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25.000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83</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2013</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5.000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84</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2014</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4.500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85</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2015</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4.000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85,04</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2016</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3.600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85,8</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2017</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2.400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highlight w:val="yellow"/>
              </w:rPr>
            </w:pPr>
            <w:r w:rsidRPr="000420E2">
              <w:rPr>
                <w:color w:val="000000" w:themeColor="text1"/>
              </w:rPr>
              <w:t>90</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2018</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2.000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92,6</w:t>
            </w:r>
          </w:p>
        </w:tc>
      </w:tr>
      <w:tr w:rsidR="008F78DD" w:rsidRPr="000420E2" w:rsidTr="008F78DD">
        <w:trPr>
          <w:trHeight w:val="20"/>
          <w:jc w:val="center"/>
        </w:trPr>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center"/>
              <w:rPr>
                <w:color w:val="000000" w:themeColor="text1"/>
              </w:rPr>
            </w:pPr>
            <w:r w:rsidRPr="000420E2">
              <w:rPr>
                <w:color w:val="000000" w:themeColor="text1"/>
              </w:rPr>
              <w:t>2019</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1.600</w:t>
            </w:r>
          </w:p>
        </w:tc>
        <w:tc>
          <w:tcPr>
            <w:tcW w:w="222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8F78DD" w:rsidRPr="000420E2" w:rsidRDefault="008F78DD">
            <w:pPr>
              <w:pStyle w:val="ListeParagraf"/>
              <w:tabs>
                <w:tab w:val="left" w:pos="284"/>
                <w:tab w:val="left" w:pos="567"/>
                <w:tab w:val="left" w:pos="709"/>
                <w:tab w:val="left" w:pos="851"/>
              </w:tabs>
              <w:ind w:left="0"/>
              <w:jc w:val="right"/>
              <w:rPr>
                <w:color w:val="000000" w:themeColor="text1"/>
              </w:rPr>
            </w:pPr>
            <w:r w:rsidRPr="000420E2">
              <w:rPr>
                <w:color w:val="000000" w:themeColor="text1"/>
              </w:rPr>
              <w:t>95,4</w:t>
            </w:r>
          </w:p>
        </w:tc>
      </w:tr>
    </w:tbl>
    <w:p w:rsidR="00210B66" w:rsidRPr="005F5E6A" w:rsidRDefault="00210B66" w:rsidP="00E37E90">
      <w:pPr>
        <w:pStyle w:val="ListeParagraf"/>
        <w:numPr>
          <w:ilvl w:val="0"/>
          <w:numId w:val="38"/>
        </w:numPr>
        <w:spacing w:line="240" w:lineRule="auto"/>
        <w:jc w:val="both"/>
        <w:rPr>
          <w:rFonts w:ascii="Calibri" w:hAnsi="Calibri"/>
        </w:rPr>
      </w:pPr>
      <w:r w:rsidRPr="004462DF">
        <w:rPr>
          <w:rFonts w:ascii="Calibri" w:hAnsi="Calibri"/>
        </w:rPr>
        <w:t>With the KÜPSM formula in the KÜSTST formula calculated within the scope of Article 110 of the</w:t>
      </w:r>
      <w:r w:rsidRPr="005F5E6A">
        <w:rPr>
          <w:rFonts w:ascii="Calibri" w:hAnsi="Calibri"/>
        </w:rPr>
        <w:t xml:space="preserve"> Electricity Market Balancing and Settlement Regulation, the coefficients “m” and “n used in both formulas were changed</w:t>
      </w:r>
      <w:r w:rsidR="000648AD">
        <w:rPr>
          <w:rFonts w:ascii="Calibri" w:hAnsi="Calibri"/>
        </w:rPr>
        <w:t xml:space="preserve"> w</w:t>
      </w:r>
      <w:r w:rsidRPr="005F5E6A">
        <w:rPr>
          <w:rFonts w:ascii="Calibri" w:hAnsi="Calibri"/>
        </w:rPr>
        <w:t>ith the Board Decision dated 13.12.2017 and numbered 7524 published in the Official Gazette dated 18.01.2018 and numbered 30305</w:t>
      </w:r>
      <w:r w:rsidR="00F01A72" w:rsidRPr="005F5E6A">
        <w:rPr>
          <w:rFonts w:ascii="Calibri" w:hAnsi="Calibri"/>
        </w:rPr>
        <w:t>.</w:t>
      </w:r>
    </w:p>
    <w:p w:rsidR="005F5E6A" w:rsidRPr="00D91F32" w:rsidRDefault="000648AD" w:rsidP="00E37E90">
      <w:pPr>
        <w:pStyle w:val="ListeParagraf"/>
        <w:numPr>
          <w:ilvl w:val="0"/>
          <w:numId w:val="38"/>
        </w:numPr>
        <w:spacing w:after="0" w:line="276" w:lineRule="auto"/>
        <w:jc w:val="both"/>
      </w:pPr>
      <w:r w:rsidRPr="00D91F32">
        <w:t>With the Board Decision dated 28.12.2017 and numbered 7590 published in the Official Gazette dated 18.01.2018 and numbered 30305, The Principles and Procedures on Unlicensed Generation Applications for Solar based Generation Facil</w:t>
      </w:r>
      <w:r w:rsidR="00D91F32" w:rsidRPr="00D91F32">
        <w:t>ities connected from</w:t>
      </w:r>
      <w:r w:rsidRPr="00D91F32">
        <w:t xml:space="preserve"> the </w:t>
      </w:r>
      <w:r w:rsidR="00D91F32" w:rsidRPr="00D91F32">
        <w:t>same Metering Point with the Consumption Facility and on the Use of Excess Energy were taken into effect.</w:t>
      </w:r>
    </w:p>
    <w:p w:rsidR="005F5E6A" w:rsidRPr="004462DF" w:rsidRDefault="00D91F32" w:rsidP="00E37E90">
      <w:pPr>
        <w:pStyle w:val="ListeParagraf"/>
        <w:numPr>
          <w:ilvl w:val="0"/>
          <w:numId w:val="38"/>
        </w:numPr>
        <w:spacing w:after="0" w:line="276" w:lineRule="auto"/>
        <w:jc w:val="both"/>
      </w:pPr>
      <w:r w:rsidRPr="004462DF">
        <w:t>With the Board Decision dated 18.01.2018 and numbered 7643-26 published in the Official Gazette dated 02.02.2018 and numbered 30320, it was decided  to apply the ratio of the annual amount of electricity generation registered to the license of a licensee within the scope of t</w:t>
      </w:r>
      <w:r w:rsidR="004462DF">
        <w:t>he second paragraph of Provisional</w:t>
      </w:r>
      <w:r w:rsidRPr="004462DF">
        <w:t xml:space="preserve"> Article 7 of the Electricity Market Law No. 6446 </w:t>
      </w:r>
      <w:r w:rsidR="004462DF" w:rsidRPr="004462DF">
        <w:t xml:space="preserve">and </w:t>
      </w:r>
      <w:r w:rsidRPr="004462DF">
        <w:t>can be sold in the market as 40% for 2018.</w:t>
      </w:r>
    </w:p>
    <w:p w:rsidR="004462DF" w:rsidRPr="004462DF" w:rsidRDefault="004462DF" w:rsidP="00E37E90">
      <w:pPr>
        <w:pStyle w:val="ListeParagraf"/>
        <w:numPr>
          <w:ilvl w:val="0"/>
          <w:numId w:val="38"/>
        </w:numPr>
        <w:spacing w:after="0" w:line="276" w:lineRule="auto"/>
        <w:jc w:val="both"/>
      </w:pPr>
      <w:r w:rsidRPr="004462DF">
        <w:t>With the Board Decision dated 08.03.2018 and numbered 7726 published in the Official Gazette dated 17.03.2018 and numbered 30363, Procedures and Principles for Amendment of the Procedures and Principles Regarding the Standards of the Quality of Service of Call Centers of Electricity Distribution Companies and Assigned Supply Companies were adopted. The amendments are effective as of the date of publication.</w:t>
      </w:r>
    </w:p>
    <w:p w:rsidR="005F5E6A" w:rsidRPr="00D5211B" w:rsidRDefault="004462DF" w:rsidP="00E37E90">
      <w:pPr>
        <w:pStyle w:val="ListeParagraf"/>
        <w:numPr>
          <w:ilvl w:val="0"/>
          <w:numId w:val="38"/>
        </w:numPr>
        <w:spacing w:after="0" w:line="276" w:lineRule="auto"/>
        <w:jc w:val="both"/>
      </w:pPr>
      <w:r w:rsidRPr="00D5211B">
        <w:t xml:space="preserve">With the Board Decision dated 14.03.2018 and numbered 7738-7 published in the Official Gazette dated  24.03.2018 and numbered </w:t>
      </w:r>
      <w:r w:rsidR="005F5E6A" w:rsidRPr="00D5211B">
        <w:t xml:space="preserve">30370 </w:t>
      </w:r>
      <w:r w:rsidRPr="00D5211B">
        <w:t xml:space="preserve">it was decided to take the applications for wind energy based pre-license applications between the dates 6,7,8,9,10 April 2020. </w:t>
      </w:r>
    </w:p>
    <w:p w:rsidR="005F5E6A" w:rsidRPr="00D5211B" w:rsidRDefault="00D5211B" w:rsidP="00E37E90">
      <w:pPr>
        <w:pStyle w:val="ListeParagraf"/>
        <w:numPr>
          <w:ilvl w:val="0"/>
          <w:numId w:val="38"/>
        </w:numPr>
        <w:spacing w:after="0" w:line="276" w:lineRule="auto"/>
        <w:jc w:val="both"/>
      </w:pPr>
      <w:r w:rsidRPr="00D5211B">
        <w:t>With the Board Decision dated 22.03.2018 and numbered 7747-1 published in the Official Gazette dated 27.03.2018 and numbered</w:t>
      </w:r>
      <w:r w:rsidR="005F5E6A" w:rsidRPr="00D5211B">
        <w:t xml:space="preserve"> 30373 “</w:t>
      </w:r>
      <w:r w:rsidRPr="00D5211B">
        <w:t>Principles and Procedures for Improvement and Standardisation of the Geographical Information Systems Established by the Electricity Distribution Companies” were adopted. The principles and procedures are effective as of the date of publication.</w:t>
      </w:r>
    </w:p>
    <w:p w:rsidR="005F5E6A" w:rsidRPr="00D5211B" w:rsidRDefault="00D5211B" w:rsidP="00E37E90">
      <w:pPr>
        <w:pStyle w:val="ListeParagraf"/>
        <w:numPr>
          <w:ilvl w:val="0"/>
          <w:numId w:val="38"/>
        </w:numPr>
        <w:spacing w:after="0" w:line="276" w:lineRule="auto"/>
        <w:jc w:val="both"/>
      </w:pPr>
      <w:r w:rsidRPr="00D5211B">
        <w:t xml:space="preserve">With the Board Decision dated 29.03.2018 and numbered 7760-1 published in the Official Gazette dated 07.04.2018 and numbered 30384, as per the fifth paragraph of the Article 6 of Electricity Market Connection and System Use Regulation it was decided to; </w:t>
      </w:r>
    </w:p>
    <w:p w:rsidR="005F5E6A" w:rsidRPr="00D5211B" w:rsidRDefault="00D5211B" w:rsidP="00E37E90">
      <w:pPr>
        <w:pStyle w:val="ListeParagraf"/>
        <w:numPr>
          <w:ilvl w:val="0"/>
          <w:numId w:val="39"/>
        </w:numPr>
        <w:spacing w:after="0" w:line="276" w:lineRule="auto"/>
        <w:jc w:val="both"/>
      </w:pPr>
      <w:r w:rsidRPr="00D5211B">
        <w:t>Annul the Board Decision dated 04.06.2013 and numbered</w:t>
      </w:r>
      <w:r w:rsidR="005F5E6A" w:rsidRPr="00D5211B">
        <w:t xml:space="preserve"> 4431-16,</w:t>
      </w:r>
    </w:p>
    <w:p w:rsidR="005F5E6A" w:rsidRPr="00D5211B" w:rsidRDefault="00D5211B" w:rsidP="00E37E90">
      <w:pPr>
        <w:pStyle w:val="ListeParagraf"/>
        <w:numPr>
          <w:ilvl w:val="0"/>
          <w:numId w:val="39"/>
        </w:numPr>
        <w:spacing w:after="0" w:line="276" w:lineRule="auto"/>
        <w:jc w:val="both"/>
      </w:pPr>
      <w:r w:rsidRPr="00D5211B">
        <w:t xml:space="preserve">Approve the Transmission System System Connection Aggrement annexed to the Board Decision numbered </w:t>
      </w:r>
      <w:r w:rsidR="005F5E6A" w:rsidRPr="00D5211B">
        <w:t>7760-1,</w:t>
      </w:r>
    </w:p>
    <w:p w:rsidR="005F5E6A" w:rsidRPr="005C7CD5" w:rsidRDefault="00D5211B" w:rsidP="00E37E90">
      <w:pPr>
        <w:pStyle w:val="ListeParagraf"/>
        <w:numPr>
          <w:ilvl w:val="0"/>
          <w:numId w:val="39"/>
        </w:numPr>
        <w:spacing w:after="0" w:line="276" w:lineRule="auto"/>
        <w:jc w:val="both"/>
      </w:pPr>
      <w:r w:rsidRPr="005C7CD5">
        <w:t xml:space="preserve">Keep the existing agreements in effect </w:t>
      </w:r>
      <w:r w:rsidR="003977F8" w:rsidRPr="005C7CD5">
        <w:t>until the date of the signing of Transmission System Connection Agreement approved in line with sub-cl</w:t>
      </w:r>
      <w:r w:rsidR="005C7CD5" w:rsidRPr="005C7CD5">
        <w:t xml:space="preserve">ause (b) between </w:t>
      </w:r>
      <w:r w:rsidR="005F5E6A" w:rsidRPr="005C7CD5">
        <w:t xml:space="preserve">TEİAŞ </w:t>
      </w:r>
      <w:r w:rsidR="005C7CD5" w:rsidRPr="005C7CD5">
        <w:t>and existing users.</w:t>
      </w:r>
    </w:p>
    <w:p w:rsidR="005F5E6A" w:rsidRPr="0035313C" w:rsidRDefault="00696968" w:rsidP="00E37E90">
      <w:pPr>
        <w:pStyle w:val="ListeParagraf"/>
        <w:numPr>
          <w:ilvl w:val="0"/>
          <w:numId w:val="38"/>
        </w:numPr>
        <w:spacing w:after="0" w:line="276" w:lineRule="auto"/>
        <w:jc w:val="both"/>
      </w:pPr>
      <w:r w:rsidRPr="0035313C">
        <w:t>With the Board Decision dated 29.03.2018 and numbered 7760-2 published in the Official Gazette dated 07.04.2018 and numbered</w:t>
      </w:r>
      <w:r w:rsidR="0035313C" w:rsidRPr="0035313C">
        <w:t xml:space="preserve"> 30384, as per the fifth paragraph of the Article 6 of Electricity Market Connection and System Use Regulation, it was decided to; </w:t>
      </w:r>
    </w:p>
    <w:p w:rsidR="005F5E6A" w:rsidRPr="00AA2D93" w:rsidRDefault="00AA2D93" w:rsidP="00E37E90">
      <w:pPr>
        <w:pStyle w:val="ListeParagraf"/>
        <w:numPr>
          <w:ilvl w:val="0"/>
          <w:numId w:val="39"/>
        </w:numPr>
        <w:spacing w:after="0" w:line="276" w:lineRule="auto"/>
        <w:jc w:val="both"/>
      </w:pPr>
      <w:r w:rsidRPr="00AA2D93">
        <w:t>Annul the Board Decision dated 15.03.2012 and numbered</w:t>
      </w:r>
      <w:r w:rsidR="005F5E6A" w:rsidRPr="00AA2D93">
        <w:t xml:space="preserve"> 3735,</w:t>
      </w:r>
    </w:p>
    <w:p w:rsidR="005F5E6A" w:rsidRPr="00AA2D93" w:rsidRDefault="00AA2D93" w:rsidP="00E37E90">
      <w:pPr>
        <w:pStyle w:val="ListeParagraf"/>
        <w:numPr>
          <w:ilvl w:val="0"/>
          <w:numId w:val="39"/>
        </w:numPr>
        <w:spacing w:after="0" w:line="276" w:lineRule="auto"/>
        <w:jc w:val="both"/>
      </w:pPr>
      <w:r w:rsidRPr="00AA2D93">
        <w:t xml:space="preserve">Approve the Transmission System System Connection Aggrement annexed to the Board Decision numbered </w:t>
      </w:r>
      <w:r w:rsidR="005F5E6A" w:rsidRPr="00AA2D93">
        <w:t>7760-2,</w:t>
      </w:r>
    </w:p>
    <w:p w:rsidR="00AA2D93" w:rsidRPr="005C7CD5" w:rsidRDefault="00AA2D93" w:rsidP="00AA2D93">
      <w:pPr>
        <w:pStyle w:val="ListeParagraf"/>
        <w:numPr>
          <w:ilvl w:val="0"/>
          <w:numId w:val="39"/>
        </w:numPr>
        <w:spacing w:after="0" w:line="276" w:lineRule="auto"/>
        <w:jc w:val="both"/>
      </w:pPr>
      <w:r w:rsidRPr="005C7CD5">
        <w:t>Keep the existing agreements in effect until the date of the signing of Transmission System Connection Agreement approved in line with sub-clause (b) between TEİAŞ and existing users.</w:t>
      </w:r>
    </w:p>
    <w:p w:rsidR="005F5E6A" w:rsidRPr="00905ECF" w:rsidRDefault="00AA2D93" w:rsidP="00E37E90">
      <w:pPr>
        <w:pStyle w:val="ListeParagraf"/>
        <w:numPr>
          <w:ilvl w:val="0"/>
          <w:numId w:val="38"/>
        </w:numPr>
        <w:tabs>
          <w:tab w:val="left" w:pos="284"/>
          <w:tab w:val="left" w:pos="709"/>
          <w:tab w:val="left" w:pos="851"/>
        </w:tabs>
        <w:spacing w:after="0" w:line="269" w:lineRule="auto"/>
        <w:jc w:val="both"/>
        <w:rPr>
          <w:color w:val="000000" w:themeColor="text1"/>
        </w:rPr>
      </w:pPr>
      <w:r w:rsidRPr="00905ECF">
        <w:rPr>
          <w:color w:val="000000" w:themeColor="text1"/>
        </w:rPr>
        <w:t>With the Board Decision dated 10.05.2018 and numbered 7828 published in the Official Gazette dated 25.05.2018 and numbered</w:t>
      </w:r>
      <w:r w:rsidR="00905ECF" w:rsidRPr="00905ECF">
        <w:rPr>
          <w:color w:val="000000" w:themeColor="text1"/>
        </w:rPr>
        <w:t xml:space="preserve"> 30431, it was decided to; </w:t>
      </w:r>
    </w:p>
    <w:p w:rsidR="005F5E6A" w:rsidRPr="00595040" w:rsidRDefault="00595040" w:rsidP="00E37E90">
      <w:pPr>
        <w:pStyle w:val="ListeParagraf"/>
        <w:numPr>
          <w:ilvl w:val="0"/>
          <w:numId w:val="40"/>
        </w:numPr>
        <w:tabs>
          <w:tab w:val="left" w:pos="284"/>
          <w:tab w:val="left" w:pos="709"/>
          <w:tab w:val="left" w:pos="851"/>
        </w:tabs>
        <w:spacing w:after="0" w:line="269" w:lineRule="auto"/>
        <w:jc w:val="both"/>
        <w:rPr>
          <w:color w:val="000000" w:themeColor="text1"/>
        </w:rPr>
      </w:pPr>
      <w:r w:rsidRPr="00595040">
        <w:rPr>
          <w:color w:val="000000" w:themeColor="text1"/>
        </w:rPr>
        <w:t>Annul  “ The List of the information and documents to be submitted for Applications of Pre-License and License Procedures” approved by the Board Decision dated 21.11.2013 and numbered</w:t>
      </w:r>
      <w:r w:rsidR="005F5E6A" w:rsidRPr="00595040">
        <w:rPr>
          <w:color w:val="000000" w:themeColor="text1"/>
        </w:rPr>
        <w:t xml:space="preserve"> 4709-7</w:t>
      </w:r>
      <w:r w:rsidRPr="00595040">
        <w:rPr>
          <w:color w:val="000000" w:themeColor="text1"/>
        </w:rPr>
        <w:t>,</w:t>
      </w:r>
    </w:p>
    <w:p w:rsidR="00595040" w:rsidRPr="00C57AEA" w:rsidRDefault="00595040" w:rsidP="00E37E90">
      <w:pPr>
        <w:pStyle w:val="ListeParagraf"/>
        <w:numPr>
          <w:ilvl w:val="0"/>
          <w:numId w:val="40"/>
        </w:numPr>
        <w:tabs>
          <w:tab w:val="left" w:pos="284"/>
          <w:tab w:val="left" w:pos="709"/>
          <w:tab w:val="left" w:pos="851"/>
        </w:tabs>
        <w:spacing w:after="0" w:line="269" w:lineRule="auto"/>
        <w:jc w:val="both"/>
        <w:rPr>
          <w:color w:val="000000" w:themeColor="text1"/>
        </w:rPr>
      </w:pPr>
      <w:r w:rsidRPr="00595040">
        <w:rPr>
          <w:color w:val="000000" w:themeColor="text1"/>
        </w:rPr>
        <w:t xml:space="preserve">Annul the Board Decision dated 09.04.2015 and numbered 5556 amending “The List of the information and documents to be submitted for Applications of Pre-License and License Procedures” approved by the Board Decision dated 21.11.2013 and numbered </w:t>
      </w:r>
      <w:r w:rsidRPr="00C57AEA">
        <w:rPr>
          <w:color w:val="000000" w:themeColor="text1"/>
        </w:rPr>
        <w:t xml:space="preserve">4709-7, </w:t>
      </w:r>
    </w:p>
    <w:p w:rsidR="005F5E6A" w:rsidRPr="00C57AEA" w:rsidRDefault="00595040" w:rsidP="00E37E90">
      <w:pPr>
        <w:pStyle w:val="ListeParagraf"/>
        <w:numPr>
          <w:ilvl w:val="0"/>
          <w:numId w:val="40"/>
        </w:numPr>
        <w:tabs>
          <w:tab w:val="left" w:pos="284"/>
          <w:tab w:val="left" w:pos="709"/>
          <w:tab w:val="left" w:pos="851"/>
        </w:tabs>
        <w:spacing w:after="0" w:line="269" w:lineRule="auto"/>
        <w:jc w:val="both"/>
        <w:rPr>
          <w:color w:val="000000" w:themeColor="text1"/>
        </w:rPr>
      </w:pPr>
      <w:r w:rsidRPr="00C57AEA">
        <w:rPr>
          <w:color w:val="000000" w:themeColor="text1"/>
        </w:rPr>
        <w:t xml:space="preserve">Adopt “The List of the information and documents to be submitted for Applications of Pre-License and License Procedures” annexed to the Board Decision. </w:t>
      </w:r>
    </w:p>
    <w:p w:rsidR="005F5E6A" w:rsidRPr="00C57AEA" w:rsidRDefault="00C57AEA" w:rsidP="00E37E90">
      <w:pPr>
        <w:pStyle w:val="ListeParagraf"/>
        <w:numPr>
          <w:ilvl w:val="0"/>
          <w:numId w:val="38"/>
        </w:numPr>
        <w:spacing w:after="0" w:line="276" w:lineRule="auto"/>
        <w:jc w:val="both"/>
      </w:pPr>
      <w:r w:rsidRPr="00C57AEA">
        <w:t xml:space="preserve">With the Board Decision dated 30.05.2018 and numbered </w:t>
      </w:r>
      <w:r w:rsidR="005F5E6A" w:rsidRPr="00C57AEA">
        <w:t xml:space="preserve">30436 </w:t>
      </w:r>
      <w:r w:rsidRPr="00C57AEA">
        <w:t xml:space="preserve">published in the Official Gazette dated </w:t>
      </w:r>
      <w:r w:rsidR="005F5E6A" w:rsidRPr="00C57AEA">
        <w:t xml:space="preserve">24.05.2018 </w:t>
      </w:r>
      <w:r w:rsidRPr="00C57AEA">
        <w:t>and numbered 7853-41, it was decided to accept the letter of application and the information sheet to be formed within the scope of the Renewable Energy Resources Support Mechanism.</w:t>
      </w:r>
    </w:p>
    <w:p w:rsidR="005F5E6A" w:rsidRPr="00C57AEA" w:rsidRDefault="00C57AEA" w:rsidP="00E37E90">
      <w:pPr>
        <w:pStyle w:val="ListeParagraf"/>
        <w:numPr>
          <w:ilvl w:val="0"/>
          <w:numId w:val="38"/>
        </w:numPr>
        <w:tabs>
          <w:tab w:val="left" w:pos="284"/>
          <w:tab w:val="left" w:pos="709"/>
          <w:tab w:val="left" w:pos="851"/>
        </w:tabs>
        <w:spacing w:after="0" w:line="269" w:lineRule="auto"/>
        <w:jc w:val="both"/>
        <w:rPr>
          <w:color w:val="000000" w:themeColor="text1"/>
        </w:rPr>
      </w:pPr>
      <w:r w:rsidRPr="00C57AEA">
        <w:t>With the Board Decision dated 12.06.2018 and numbered</w:t>
      </w:r>
      <w:r w:rsidR="005F5E6A" w:rsidRPr="00C57AEA">
        <w:t xml:space="preserve"> 30449</w:t>
      </w:r>
      <w:r w:rsidRPr="00C57AEA">
        <w:t xml:space="preserve"> published in the Official Gazette dated </w:t>
      </w:r>
      <w:r w:rsidR="005F5E6A" w:rsidRPr="00C57AEA">
        <w:t xml:space="preserve"> 07.06.2018 </w:t>
      </w:r>
      <w:r w:rsidRPr="00C57AEA">
        <w:t xml:space="preserve">and numbered 7892-2, amendments were made in </w:t>
      </w:r>
      <w:r w:rsidRPr="00C57AEA">
        <w:rPr>
          <w:color w:val="000000" w:themeColor="text1"/>
        </w:rPr>
        <w:t xml:space="preserve">“The List of the information and documents to be submitted for Applications of Pre-License and License Procedures” adopted by the Board Decision dated </w:t>
      </w:r>
      <w:r w:rsidRPr="00C57AEA">
        <w:t xml:space="preserve"> </w:t>
      </w:r>
      <w:r w:rsidRPr="00C57AEA">
        <w:rPr>
          <w:color w:val="000000" w:themeColor="text1"/>
        </w:rPr>
        <w:t>10.05.2018 and numbered</w:t>
      </w:r>
      <w:r w:rsidR="005F5E6A" w:rsidRPr="00C57AEA">
        <w:rPr>
          <w:color w:val="000000" w:themeColor="text1"/>
        </w:rPr>
        <w:t xml:space="preserve"> 7828.</w:t>
      </w:r>
    </w:p>
    <w:p w:rsidR="00FD1B74" w:rsidRPr="00AB627B" w:rsidRDefault="00A366C0" w:rsidP="00FD1B74">
      <w:pPr>
        <w:pStyle w:val="ListeParagraf"/>
        <w:numPr>
          <w:ilvl w:val="0"/>
          <w:numId w:val="38"/>
        </w:numPr>
        <w:tabs>
          <w:tab w:val="left" w:pos="284"/>
          <w:tab w:val="left" w:pos="709"/>
          <w:tab w:val="left" w:pos="851"/>
        </w:tabs>
        <w:spacing w:after="0" w:line="269" w:lineRule="auto"/>
        <w:jc w:val="both"/>
        <w:rPr>
          <w:color w:val="000000" w:themeColor="text1"/>
        </w:rPr>
      </w:pPr>
      <w:r w:rsidRPr="00AB627B">
        <w:t xml:space="preserve">With the Board Decision dated 06.07.2018 and numbered </w:t>
      </w:r>
      <w:r w:rsidR="005F5E6A" w:rsidRPr="00AB627B">
        <w:t>30470</w:t>
      </w:r>
      <w:r w:rsidRPr="00AB627B">
        <w:t xml:space="preserve"> published in the Official Gazette dated </w:t>
      </w:r>
      <w:r w:rsidR="005F5E6A" w:rsidRPr="00AB627B">
        <w:t xml:space="preserve"> 28.06.2018 </w:t>
      </w:r>
      <w:r w:rsidRPr="00AB627B">
        <w:t xml:space="preserve">and numbered </w:t>
      </w:r>
      <w:r w:rsidR="00FD1B74" w:rsidRPr="00AB627B">
        <w:t>7932-1 Sakarya Electricity Distribution Inc. with the request of  Cancellation of Article 9 of the Regulation on the Preparation and Implementation of the Procurement and Selling and Procurement Procedures of the Electricity Distribution Companies entered into force after being published in the Official Gazette dated 31.05.2017 and numbered 30082. E: In the lawsuit filed on the basis of 2017/1875, the Council of State Administrative Case Departments dated 31.07.2017 and numbered 2017/1221 YD objection within the scope of the application of the decision on the adoption of the objection and the suspension of the execution of the regulation subject to the case no. Provisions of the Provisional Article 1 of the Regulation on the Preparation and Implementation of the Procurement-Selling and Tendering Procedures of the Electricity Distribution Companies, which entered into force after being published in the Official Gazette, were decided to be applicable.</w:t>
      </w:r>
    </w:p>
    <w:p w:rsidR="005F5E6A" w:rsidRPr="00AB627B" w:rsidRDefault="00FD1B74" w:rsidP="00FD1B74">
      <w:pPr>
        <w:pStyle w:val="ListeParagraf"/>
        <w:numPr>
          <w:ilvl w:val="0"/>
          <w:numId w:val="38"/>
        </w:numPr>
        <w:tabs>
          <w:tab w:val="left" w:pos="284"/>
          <w:tab w:val="left" w:pos="709"/>
          <w:tab w:val="left" w:pos="851"/>
        </w:tabs>
        <w:spacing w:after="0" w:line="269" w:lineRule="auto"/>
        <w:jc w:val="both"/>
        <w:rPr>
          <w:color w:val="000000" w:themeColor="text1"/>
        </w:rPr>
      </w:pPr>
      <w:r w:rsidRPr="00AB627B">
        <w:t>With the Board Decision dated 28.06.2018 and numbred 7932-1 published in the Official Gazette dated 06.07.2018 and numbered</w:t>
      </w:r>
      <w:r w:rsidR="005F5E6A" w:rsidRPr="00AB627B">
        <w:t xml:space="preserve"> 30470 </w:t>
      </w:r>
      <w:r w:rsidRPr="00AB627B">
        <w:t>Sakarya Electricity Distribution Inc. with the request of 13. Cancellation of Article 9 of the Regulation on the Preparation and Implementation of the Procurement and Selling and Procurement Procedures of the Electricity Distribution Companies entered into force after being published in the Official Gazette dated 31.05.2017 and numbered 30082 iptal. E: In the lawsuit filed on the basis of 2017/1875, the Council of State Administrative Case Departments dated 31.07.2017 and no. The Regulation on the Amendment to the Regulation on the Preparation and Implementation of the Procurement-Selling and Tendering Procedures was adopted and published</w:t>
      </w:r>
      <w:r w:rsidR="00AB627B" w:rsidRPr="00AB627B">
        <w:t>.</w:t>
      </w:r>
    </w:p>
    <w:p w:rsidR="005F5E6A" w:rsidRPr="00AB627B" w:rsidRDefault="00FD1B74" w:rsidP="00E37E90">
      <w:pPr>
        <w:pStyle w:val="ListeParagraf"/>
        <w:numPr>
          <w:ilvl w:val="0"/>
          <w:numId w:val="38"/>
        </w:numPr>
        <w:tabs>
          <w:tab w:val="left" w:pos="284"/>
          <w:tab w:val="left" w:pos="709"/>
          <w:tab w:val="left" w:pos="851"/>
        </w:tabs>
        <w:spacing w:after="0" w:line="269" w:lineRule="auto"/>
        <w:jc w:val="both"/>
        <w:rPr>
          <w:color w:val="000000" w:themeColor="text1"/>
        </w:rPr>
      </w:pPr>
      <w:r w:rsidRPr="00AB627B">
        <w:t>With the Board Decision dated 20.09.2018 and numbered 8069 published in the Official Gazette dated 28.09.2018 and numbered</w:t>
      </w:r>
      <w:r w:rsidR="005F5E6A" w:rsidRPr="00AB627B">
        <w:t xml:space="preserve"> 30549 “</w:t>
      </w:r>
      <w:r w:rsidRPr="00AB627B">
        <w:t xml:space="preserve">The Principles and Procedures Amending the principles and Procedures for Implementation of Quality Factor” was adopted. The amendments are in effect as of the date of publication. </w:t>
      </w:r>
    </w:p>
    <w:p w:rsidR="00AB627B" w:rsidRPr="00AB627B" w:rsidRDefault="00AB627B" w:rsidP="00E37E90">
      <w:pPr>
        <w:pStyle w:val="ListeParagraf"/>
        <w:numPr>
          <w:ilvl w:val="0"/>
          <w:numId w:val="38"/>
        </w:numPr>
        <w:tabs>
          <w:tab w:val="left" w:pos="284"/>
          <w:tab w:val="left" w:pos="709"/>
          <w:tab w:val="left" w:pos="851"/>
        </w:tabs>
        <w:spacing w:after="0" w:line="269" w:lineRule="auto"/>
        <w:jc w:val="both"/>
        <w:rPr>
          <w:color w:val="000000" w:themeColor="text1"/>
        </w:rPr>
      </w:pPr>
      <w:r w:rsidRPr="00AB627B">
        <w:t xml:space="preserve">With the Board Decision dated 04.10.2018 and numbered 8103-48 published in the Official Gazette dated </w:t>
      </w:r>
      <w:r w:rsidR="005F5E6A" w:rsidRPr="00AB627B">
        <w:t xml:space="preserve">13.10.2018 </w:t>
      </w:r>
      <w:r w:rsidRPr="00AB627B">
        <w:t>and numbered 30564, format of the RES List determined by the Board Decision dated 30.11.2017 and numbered</w:t>
      </w:r>
      <w:r w:rsidR="005F5E6A" w:rsidRPr="00AB627B">
        <w:t xml:space="preserve"> 7477-1 </w:t>
      </w:r>
      <w:r w:rsidRPr="00AB627B">
        <w:t xml:space="preserve">was annulled and the new RES List was adopted. </w:t>
      </w:r>
    </w:p>
    <w:p w:rsidR="005F5E6A" w:rsidRPr="00D32D12" w:rsidRDefault="00FC453F" w:rsidP="008C28A7">
      <w:pPr>
        <w:pStyle w:val="ListeParagraf"/>
        <w:numPr>
          <w:ilvl w:val="0"/>
          <w:numId w:val="38"/>
        </w:numPr>
        <w:tabs>
          <w:tab w:val="left" w:pos="284"/>
          <w:tab w:val="left" w:pos="709"/>
          <w:tab w:val="left" w:pos="851"/>
        </w:tabs>
        <w:spacing w:after="0" w:line="269" w:lineRule="auto"/>
        <w:jc w:val="both"/>
        <w:rPr>
          <w:color w:val="000000" w:themeColor="text1"/>
        </w:rPr>
      </w:pPr>
      <w:r w:rsidRPr="00D32D12">
        <w:t>With the Board Decision dated 18.10.2018 and numbered 8135 published in the Official Gazette dated 20.10.2018 and numbered</w:t>
      </w:r>
      <w:r w:rsidR="005F5E6A" w:rsidRPr="00D32D12">
        <w:t xml:space="preserve"> 30571 </w:t>
      </w:r>
      <w:r w:rsidR="008C28A7" w:rsidRPr="00D32D12">
        <w:t>The provisions regarding the limit in the third paragraph of Article 5 of the Communiqué on the Reg</w:t>
      </w:r>
      <w:r w:rsidR="00D90E01" w:rsidRPr="00D32D12">
        <w:t>ulation of the Last Resource Supply Tariff was</w:t>
      </w:r>
      <w:r w:rsidR="008C28A7" w:rsidRPr="00D32D12">
        <w:t xml:space="preserve"> determined for 2019.</w:t>
      </w:r>
      <w:r w:rsidR="005F5E6A" w:rsidRPr="00D32D12">
        <w:t xml:space="preserve"> </w:t>
      </w:r>
    </w:p>
    <w:p w:rsidR="005F5E6A" w:rsidRPr="00D32D12" w:rsidRDefault="00FC453F" w:rsidP="00D90E01">
      <w:pPr>
        <w:pStyle w:val="ListeParagraf"/>
        <w:numPr>
          <w:ilvl w:val="0"/>
          <w:numId w:val="38"/>
        </w:numPr>
        <w:tabs>
          <w:tab w:val="left" w:pos="284"/>
          <w:tab w:val="left" w:pos="709"/>
          <w:tab w:val="left" w:pos="851"/>
        </w:tabs>
        <w:spacing w:after="0" w:line="269" w:lineRule="auto"/>
        <w:jc w:val="both"/>
        <w:rPr>
          <w:color w:val="000000" w:themeColor="text1"/>
        </w:rPr>
      </w:pPr>
      <w:r w:rsidRPr="00D32D12">
        <w:t>With the Board Decision dated 08.11.2018 and numbered 8168 published in the Official Gazette dated 10.11.2018 and numbered</w:t>
      </w:r>
      <w:r w:rsidR="005F5E6A" w:rsidRPr="00D32D12">
        <w:t xml:space="preserve"> 30591 </w:t>
      </w:r>
      <w:r w:rsidR="00D90E01" w:rsidRPr="00D32D12">
        <w:t>Procedures and Principles Amending the Procedures and Principles Regarding Electricity Market Distribution System Investments was adopted. In this amendment, the definition of “accepted net investment expenditures” was amended. The amendment is effective as of the date of publication.</w:t>
      </w:r>
      <w:r w:rsidR="005F5E6A" w:rsidRPr="00D32D12">
        <w:t xml:space="preserve"> </w:t>
      </w:r>
    </w:p>
    <w:p w:rsidR="005F5E6A" w:rsidRPr="00D32D12" w:rsidRDefault="00FC453F" w:rsidP="00D90E01">
      <w:pPr>
        <w:pStyle w:val="ListeParagraf"/>
        <w:numPr>
          <w:ilvl w:val="0"/>
          <w:numId w:val="38"/>
        </w:numPr>
        <w:tabs>
          <w:tab w:val="left" w:pos="284"/>
          <w:tab w:val="left" w:pos="709"/>
          <w:tab w:val="left" w:pos="851"/>
        </w:tabs>
        <w:spacing w:after="0" w:line="269" w:lineRule="auto"/>
        <w:jc w:val="both"/>
        <w:rPr>
          <w:color w:val="000000" w:themeColor="text1"/>
        </w:rPr>
      </w:pPr>
      <w:r w:rsidRPr="00D32D12">
        <w:t>With the Board Decision dated 15.11.2018 and numbered 817816 published in the Official Gazette dated 11.2018 and numbered</w:t>
      </w:r>
      <w:r w:rsidR="005F5E6A" w:rsidRPr="00D32D12">
        <w:t xml:space="preserve"> 30597 </w:t>
      </w:r>
      <w:r w:rsidR="00D90E01" w:rsidRPr="00D32D12">
        <w:t>The Board Decision on the Amendment of the Structure of the Day Ahead Market Bids and the Procedures and Principles for the Evaluation of Bids was adopted. The amendment is effective as of the date of publication.</w:t>
      </w:r>
      <w:r w:rsidR="005F5E6A" w:rsidRPr="00D32D12">
        <w:t xml:space="preserve"> </w:t>
      </w:r>
    </w:p>
    <w:p w:rsidR="005F5E6A" w:rsidRPr="00D32D12" w:rsidRDefault="00FC453F" w:rsidP="00D90E01">
      <w:pPr>
        <w:pStyle w:val="ListeParagraf"/>
        <w:numPr>
          <w:ilvl w:val="0"/>
          <w:numId w:val="38"/>
        </w:numPr>
        <w:tabs>
          <w:tab w:val="left" w:pos="284"/>
          <w:tab w:val="left" w:pos="709"/>
          <w:tab w:val="left" w:pos="851"/>
        </w:tabs>
        <w:spacing w:after="0" w:line="269" w:lineRule="auto"/>
        <w:jc w:val="both"/>
        <w:rPr>
          <w:color w:val="000000" w:themeColor="text1"/>
        </w:rPr>
      </w:pPr>
      <w:r w:rsidRPr="00D32D12">
        <w:t>With the Board Decision dated 25.10.2018 and numbered 8142-2 publshed in the Official Gazette dated 17.11.2018 and numbered</w:t>
      </w:r>
      <w:r w:rsidR="005F5E6A" w:rsidRPr="00D32D12">
        <w:t xml:space="preserve"> 30598 </w:t>
      </w:r>
      <w:r w:rsidR="00D90E01" w:rsidRPr="00D32D12">
        <w:t xml:space="preserve">The Board Decision on the Amendment of the Collateral Procedures and Principles was adopted. The amendments are effective as of the beginning of the month following the publication in the Official Gazette. </w:t>
      </w:r>
    </w:p>
    <w:p w:rsidR="005F5E6A" w:rsidRPr="00D32D12" w:rsidRDefault="00FC453F" w:rsidP="00D90E01">
      <w:pPr>
        <w:pStyle w:val="ListeParagraf"/>
        <w:numPr>
          <w:ilvl w:val="0"/>
          <w:numId w:val="38"/>
        </w:numPr>
        <w:tabs>
          <w:tab w:val="left" w:pos="284"/>
          <w:tab w:val="left" w:pos="709"/>
          <w:tab w:val="left" w:pos="851"/>
        </w:tabs>
        <w:spacing w:after="0" w:line="269" w:lineRule="auto"/>
        <w:jc w:val="both"/>
        <w:rPr>
          <w:color w:val="000000" w:themeColor="text1"/>
        </w:rPr>
      </w:pPr>
      <w:r w:rsidRPr="00D32D12">
        <w:t>With the Board Decision dated 22.11.2018 and numbered 8192 published in the Official Gazette dated 30.11.2018 and numbered</w:t>
      </w:r>
      <w:r w:rsidR="005F5E6A" w:rsidRPr="00D32D12">
        <w:t xml:space="preserve"> 30611 </w:t>
      </w:r>
      <w:r w:rsidR="00D90E01" w:rsidRPr="00D32D12">
        <w:t>It has been decided that the Retail Sales Contract annexed to the decision shall be determined as the standard agreement and the existing Retail Sales Agreements shall be applied on the basis of the published contract provisions without the need for a new agreement.</w:t>
      </w:r>
      <w:r w:rsidR="005F5E6A" w:rsidRPr="00D32D12">
        <w:t xml:space="preserve"> </w:t>
      </w:r>
    </w:p>
    <w:p w:rsidR="005F5E6A" w:rsidRPr="00D32D12" w:rsidRDefault="00FC453F" w:rsidP="00D90E01">
      <w:pPr>
        <w:pStyle w:val="ListeParagraf"/>
        <w:numPr>
          <w:ilvl w:val="0"/>
          <w:numId w:val="38"/>
        </w:numPr>
        <w:tabs>
          <w:tab w:val="left" w:pos="284"/>
          <w:tab w:val="left" w:pos="709"/>
          <w:tab w:val="left" w:pos="851"/>
        </w:tabs>
        <w:spacing w:after="0" w:line="269" w:lineRule="auto"/>
        <w:jc w:val="both"/>
        <w:rPr>
          <w:color w:val="000000" w:themeColor="text1"/>
        </w:rPr>
      </w:pPr>
      <w:r w:rsidRPr="00D32D12">
        <w:t xml:space="preserve">With the Board Decision dated 06.12.2018 and numbered 8219-1 published in the Official Gazette dated 13.12.2018 and numbered 30624 </w:t>
      </w:r>
      <w:r w:rsidR="005F5E6A" w:rsidRPr="00D32D12">
        <w:t xml:space="preserve"> </w:t>
      </w:r>
      <w:r w:rsidR="00D90E01" w:rsidRPr="00D32D12">
        <w:t>Principles and Procedures for Determining the Line Participation Price ” were adopted. These procedures and principles are in effect as of the date of publication</w:t>
      </w:r>
      <w:r w:rsidR="005F5E6A" w:rsidRPr="00D32D12">
        <w:t>.</w:t>
      </w:r>
    </w:p>
    <w:p w:rsidR="005F5E6A" w:rsidRPr="00D32D12" w:rsidRDefault="005B396D" w:rsidP="00D90E01">
      <w:pPr>
        <w:pStyle w:val="ListeParagraf"/>
        <w:numPr>
          <w:ilvl w:val="0"/>
          <w:numId w:val="38"/>
        </w:numPr>
        <w:tabs>
          <w:tab w:val="left" w:pos="284"/>
          <w:tab w:val="left" w:pos="709"/>
          <w:tab w:val="left" w:pos="851"/>
        </w:tabs>
        <w:spacing w:after="0" w:line="269" w:lineRule="auto"/>
        <w:jc w:val="both"/>
        <w:rPr>
          <w:color w:val="000000" w:themeColor="text1"/>
        </w:rPr>
      </w:pPr>
      <w:r w:rsidRPr="00D32D12">
        <w:t xml:space="preserve">With the Board Decision dated 06.12.2018 and numbered 8219-2 published in the Official Gazette dated 13.12.2018 and numbered </w:t>
      </w:r>
      <w:r w:rsidR="005F5E6A" w:rsidRPr="00D32D12">
        <w:t xml:space="preserve">30624 </w:t>
      </w:r>
      <w:r w:rsidR="00D90E01" w:rsidRPr="00D32D12">
        <w:t xml:space="preserve"> “Decision on the Amendment of the Procedures and Principles for the Transfer of User-Owned Electrical Facilities by Electricity Distribution Companies ”was adopted. The amendment is effective as of the date of publication.</w:t>
      </w:r>
    </w:p>
    <w:p w:rsidR="005F5E6A" w:rsidRPr="00D32D12" w:rsidRDefault="005B396D" w:rsidP="00D90E01">
      <w:pPr>
        <w:pStyle w:val="ListeParagraf"/>
        <w:numPr>
          <w:ilvl w:val="0"/>
          <w:numId w:val="38"/>
        </w:numPr>
        <w:tabs>
          <w:tab w:val="left" w:pos="284"/>
          <w:tab w:val="left" w:pos="709"/>
          <w:tab w:val="left" w:pos="851"/>
        </w:tabs>
        <w:spacing w:after="0" w:line="269" w:lineRule="auto"/>
        <w:jc w:val="both"/>
        <w:rPr>
          <w:color w:val="000000" w:themeColor="text1"/>
        </w:rPr>
      </w:pPr>
      <w:r w:rsidRPr="00D32D12">
        <w:t>Wİth the Board Decision dated 13.12.2018 and numbered 8235 published in the Official Gazette dated 18.12.2018 and numbered</w:t>
      </w:r>
      <w:r w:rsidR="005F5E6A" w:rsidRPr="00D32D12">
        <w:t xml:space="preserve"> 30629 </w:t>
      </w:r>
      <w:r w:rsidR="00D90E01" w:rsidRPr="00D32D12">
        <w:t>The  Decision on the Amendment of the Estimated Consumption Value Determination Methodology  was adopted.</w:t>
      </w:r>
      <w:r w:rsidR="005F5E6A" w:rsidRPr="00D32D12">
        <w:t xml:space="preserve"> </w:t>
      </w:r>
    </w:p>
    <w:p w:rsidR="005F5E6A" w:rsidRPr="00D32D12" w:rsidRDefault="005F5E6A" w:rsidP="00D90E01">
      <w:pPr>
        <w:pStyle w:val="ListeParagraf"/>
        <w:numPr>
          <w:ilvl w:val="0"/>
          <w:numId w:val="38"/>
        </w:numPr>
        <w:tabs>
          <w:tab w:val="left" w:pos="284"/>
          <w:tab w:val="left" w:pos="709"/>
          <w:tab w:val="left" w:pos="851"/>
        </w:tabs>
        <w:spacing w:after="0" w:line="269" w:lineRule="auto"/>
        <w:jc w:val="both"/>
        <w:rPr>
          <w:color w:val="000000" w:themeColor="text1"/>
        </w:rPr>
      </w:pPr>
      <w:r w:rsidRPr="00D32D12">
        <w:t xml:space="preserve"> </w:t>
      </w:r>
      <w:r w:rsidR="005B396D" w:rsidRPr="00D32D12">
        <w:t>With the Board Decision dated 13.12.2018 and numbered 8252-1 published in the Official Gazette dated 18.12.2018 and numbered</w:t>
      </w:r>
      <w:r w:rsidRPr="00D32D12">
        <w:t xml:space="preserve"> 30629 </w:t>
      </w:r>
      <w:r w:rsidR="00D90E01" w:rsidRPr="00D32D12">
        <w:t>“Procedures and Principles for Amendments to the Procedures and Principles Related to Cutting-Connection Fees” were accepted. The amendment is related to the values to be taken as basis for updating cutting-connection costs. The amendments are effective as of the date of publication.</w:t>
      </w:r>
    </w:p>
    <w:p w:rsidR="00D32D12" w:rsidRPr="00D32D12" w:rsidRDefault="005B396D" w:rsidP="00D32D12">
      <w:pPr>
        <w:pStyle w:val="ListeParagraf"/>
        <w:numPr>
          <w:ilvl w:val="0"/>
          <w:numId w:val="38"/>
        </w:numPr>
        <w:tabs>
          <w:tab w:val="left" w:pos="284"/>
          <w:tab w:val="left" w:pos="709"/>
          <w:tab w:val="left" w:pos="851"/>
        </w:tabs>
        <w:spacing w:after="0" w:line="276" w:lineRule="auto"/>
        <w:jc w:val="both"/>
      </w:pPr>
      <w:r w:rsidRPr="00D32D12">
        <w:t>With the Board Decision dated 13.12.2018 and numbered 8252-2 published in the Official Gazette dated 18.12.2018 and numbered</w:t>
      </w:r>
      <w:r w:rsidR="005F5E6A" w:rsidRPr="00D32D12">
        <w:t xml:space="preserve"> 30629 </w:t>
      </w:r>
      <w:r w:rsidR="00D32D12" w:rsidRPr="00D32D12">
        <w:t>“Procedures and Principles for Amendment of Procedures and Principles Regarding Meter Control Fees ”were accepted. The amendment is related to the values to be taken as basis for updating the meter control costs. The amendments are effective as of the date of publication.</w:t>
      </w:r>
    </w:p>
    <w:p w:rsidR="00D32D12" w:rsidRPr="00D32D12" w:rsidRDefault="005B396D" w:rsidP="00D32D12">
      <w:pPr>
        <w:pStyle w:val="ListeParagraf"/>
        <w:numPr>
          <w:ilvl w:val="0"/>
          <w:numId w:val="38"/>
        </w:numPr>
        <w:tabs>
          <w:tab w:val="left" w:pos="284"/>
          <w:tab w:val="left" w:pos="709"/>
          <w:tab w:val="left" w:pos="851"/>
        </w:tabs>
        <w:spacing w:after="0" w:line="276" w:lineRule="auto"/>
        <w:jc w:val="both"/>
        <w:rPr>
          <w:rFonts w:ascii="Calibri" w:hAnsi="Calibri"/>
        </w:rPr>
      </w:pPr>
      <w:r w:rsidRPr="00D32D12">
        <w:t>With the Board Decision dated 20.12.2018 and numbered 8260 published in the Official Gazette dated 26.12.2018 and numbered</w:t>
      </w:r>
      <w:r w:rsidR="005F5E6A" w:rsidRPr="00D32D12">
        <w:t xml:space="preserve"> 30637 </w:t>
      </w:r>
      <w:r w:rsidR="00D32D12" w:rsidRPr="00D32D12">
        <w:t>It is decided that the rate at which the annual electricity production amount registered to the license of a licensed legal entity within the scope of the second paragraph of Temporary Article 7 of the Electricity Market Law No. 6446 can be sold in the market as 40% for 2019.</w:t>
      </w:r>
    </w:p>
    <w:p w:rsidR="005F5E6A" w:rsidRPr="00D32D12" w:rsidRDefault="00D32D12" w:rsidP="00D32D12">
      <w:pPr>
        <w:pStyle w:val="ListeParagraf"/>
        <w:numPr>
          <w:ilvl w:val="0"/>
          <w:numId w:val="38"/>
        </w:numPr>
        <w:tabs>
          <w:tab w:val="left" w:pos="284"/>
          <w:tab w:val="left" w:pos="709"/>
          <w:tab w:val="left" w:pos="851"/>
        </w:tabs>
        <w:spacing w:after="0" w:line="276" w:lineRule="auto"/>
        <w:jc w:val="both"/>
        <w:rPr>
          <w:rFonts w:ascii="Calibri" w:hAnsi="Calibri"/>
        </w:rPr>
      </w:pPr>
      <w:r w:rsidRPr="00D32D12">
        <w:rPr>
          <w:color w:val="000000" w:themeColor="text1"/>
        </w:rPr>
        <w:t xml:space="preserve"> </w:t>
      </w:r>
      <w:r w:rsidR="005B396D" w:rsidRPr="00D32D12">
        <w:rPr>
          <w:color w:val="000000" w:themeColor="text1"/>
        </w:rPr>
        <w:t xml:space="preserve">With the Board Decision dated 01.02.2018 and numbered 7667 published in the Official Gazette dated </w:t>
      </w:r>
      <w:r w:rsidR="005F5E6A" w:rsidRPr="00D32D12">
        <w:rPr>
          <w:color w:val="000000" w:themeColor="text1"/>
        </w:rPr>
        <w:t xml:space="preserve">06/02/2018 </w:t>
      </w:r>
      <w:r w:rsidR="005B396D" w:rsidRPr="00D32D12">
        <w:rPr>
          <w:color w:val="000000" w:themeColor="text1"/>
        </w:rPr>
        <w:t>and numbered</w:t>
      </w:r>
      <w:r w:rsidR="005F5E6A" w:rsidRPr="00D32D12">
        <w:rPr>
          <w:color w:val="000000" w:themeColor="text1"/>
        </w:rPr>
        <w:t xml:space="preserve"> 30324 </w:t>
      </w:r>
      <w:r w:rsidRPr="00D32D12">
        <w:rPr>
          <w:color w:val="000000" w:themeColor="text1"/>
        </w:rPr>
        <w:t>Within the scope of the Regulation on Certification and Support of Renewable Energy Resources, it has been decided to update the tolerance coefficient (J) table determined by the Board Decision dated 13/12/2017 and numbered 7522-1 to be applied for different plant types as follows:</w:t>
      </w:r>
    </w:p>
    <w:p w:rsidR="00FE7FEB" w:rsidRDefault="00FE7FEB" w:rsidP="00FE7FEB">
      <w:pPr>
        <w:spacing w:line="240" w:lineRule="auto"/>
        <w:jc w:val="both"/>
        <w:rPr>
          <w:rFonts w:ascii="Calibri" w:hAnsi="Calibri"/>
        </w:rPr>
      </w:pPr>
    </w:p>
    <w:p w:rsidR="004E1EFE" w:rsidRPr="0055522A" w:rsidRDefault="004E1EFE" w:rsidP="0055522A">
      <w:pPr>
        <w:pStyle w:val="Balk5"/>
        <w:rPr>
          <w:rStyle w:val="Gl"/>
          <w:b/>
          <w:bCs w:val="0"/>
        </w:rPr>
      </w:pPr>
      <w:bookmarkStart w:id="34" w:name="_Toc512874125"/>
      <w:bookmarkStart w:id="35" w:name="_Toc12958468"/>
      <w:r w:rsidRPr="0055522A">
        <w:rPr>
          <w:rStyle w:val="Gl"/>
          <w:b/>
          <w:bCs w:val="0"/>
        </w:rPr>
        <w:t>Table 2.2: J Coefficient According to Resource Type</w:t>
      </w:r>
      <w:bookmarkEnd w:id="34"/>
      <w:bookmarkEnd w:id="35"/>
    </w:p>
    <w:tbl>
      <w:tblPr>
        <w:tblW w:w="197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882"/>
        <w:gridCol w:w="1883"/>
      </w:tblGrid>
      <w:tr w:rsidR="004E1EFE" w:rsidRPr="00CF408B" w:rsidTr="008531CD">
        <w:trPr>
          <w:trHeight w:val="283"/>
          <w:jc w:val="center"/>
        </w:trPr>
        <w:tc>
          <w:tcPr>
            <w:tcW w:w="2500" w:type="pct"/>
            <w:shd w:val="clear" w:color="auto" w:fill="6E9ECA"/>
            <w:vAlign w:val="center"/>
            <w:hideMark/>
          </w:tcPr>
          <w:p w:rsidR="004E1EFE" w:rsidRPr="00CF408B" w:rsidRDefault="004E1EFE" w:rsidP="008531CD">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Resource Type</w:t>
            </w:r>
          </w:p>
        </w:tc>
        <w:tc>
          <w:tcPr>
            <w:tcW w:w="2500" w:type="pct"/>
            <w:shd w:val="clear" w:color="auto" w:fill="6E9ECA"/>
            <w:vAlign w:val="center"/>
            <w:hideMark/>
          </w:tcPr>
          <w:p w:rsidR="004E1EFE" w:rsidRPr="00CF408B" w:rsidRDefault="004E1EFE" w:rsidP="008531CD">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J Coefficient</w:t>
            </w:r>
          </w:p>
        </w:tc>
      </w:tr>
      <w:tr w:rsidR="004E1EFE" w:rsidRPr="00495438" w:rsidTr="008531CD">
        <w:trPr>
          <w:trHeight w:val="283"/>
          <w:jc w:val="center"/>
        </w:trPr>
        <w:tc>
          <w:tcPr>
            <w:tcW w:w="2500" w:type="pct"/>
            <w:shd w:val="clear" w:color="auto" w:fill="auto"/>
            <w:vAlign w:val="center"/>
            <w:hideMark/>
          </w:tcPr>
          <w:p w:rsidR="004E1EFE" w:rsidRPr="00495438" w:rsidRDefault="004E1EFE" w:rsidP="008531CD">
            <w:pPr>
              <w:spacing w:after="0" w:line="240" w:lineRule="auto"/>
              <w:rPr>
                <w:rFonts w:eastAsia="Times New Roman"/>
                <w:lang w:eastAsia="tr-TR"/>
              </w:rPr>
            </w:pPr>
            <w:r w:rsidRPr="00822B0A">
              <w:rPr>
                <w:rFonts w:eastAsia="Times New Roman"/>
                <w:lang w:eastAsia="tr-TR"/>
              </w:rPr>
              <w:t>Canal Type</w:t>
            </w:r>
          </w:p>
        </w:tc>
        <w:tc>
          <w:tcPr>
            <w:tcW w:w="2500" w:type="pct"/>
            <w:shd w:val="clear" w:color="auto" w:fill="auto"/>
            <w:vAlign w:val="center"/>
            <w:hideMark/>
          </w:tcPr>
          <w:p w:rsidR="004E1EFE" w:rsidRPr="00495438" w:rsidRDefault="004E1EFE" w:rsidP="008531CD">
            <w:pPr>
              <w:spacing w:after="0" w:line="240" w:lineRule="auto"/>
              <w:jc w:val="center"/>
              <w:rPr>
                <w:rFonts w:eastAsia="Times New Roman"/>
                <w:lang w:eastAsia="tr-TR"/>
              </w:rPr>
            </w:pPr>
            <w:r w:rsidRPr="00495438">
              <w:rPr>
                <w:rFonts w:eastAsia="Times New Roman"/>
                <w:lang w:eastAsia="tr-TR"/>
              </w:rPr>
              <w:t>0,98</w:t>
            </w:r>
          </w:p>
        </w:tc>
      </w:tr>
      <w:tr w:rsidR="004E1EFE" w:rsidRPr="00495438" w:rsidTr="008531CD">
        <w:trPr>
          <w:trHeight w:val="283"/>
          <w:jc w:val="center"/>
        </w:trPr>
        <w:tc>
          <w:tcPr>
            <w:tcW w:w="2500" w:type="pct"/>
            <w:shd w:val="clear" w:color="auto" w:fill="auto"/>
            <w:vAlign w:val="center"/>
            <w:hideMark/>
          </w:tcPr>
          <w:p w:rsidR="004E1EFE" w:rsidRPr="00495438" w:rsidRDefault="004E1EFE" w:rsidP="008531CD">
            <w:pPr>
              <w:spacing w:after="0" w:line="240" w:lineRule="auto"/>
              <w:rPr>
                <w:rFonts w:eastAsia="Times New Roman"/>
                <w:lang w:eastAsia="tr-TR"/>
              </w:rPr>
            </w:pPr>
            <w:r w:rsidRPr="00822B0A">
              <w:rPr>
                <w:rFonts w:eastAsia="Times New Roman"/>
                <w:lang w:eastAsia="tr-TR"/>
              </w:rPr>
              <w:t>Reservoired</w:t>
            </w:r>
          </w:p>
        </w:tc>
        <w:tc>
          <w:tcPr>
            <w:tcW w:w="2500" w:type="pct"/>
            <w:shd w:val="clear" w:color="auto" w:fill="auto"/>
            <w:vAlign w:val="center"/>
            <w:hideMark/>
          </w:tcPr>
          <w:p w:rsidR="004E1EFE" w:rsidRPr="00495438" w:rsidRDefault="004E1EFE" w:rsidP="008531CD">
            <w:pPr>
              <w:spacing w:after="0" w:line="240" w:lineRule="auto"/>
              <w:jc w:val="center"/>
              <w:rPr>
                <w:rFonts w:eastAsia="Times New Roman"/>
                <w:lang w:eastAsia="tr-TR"/>
              </w:rPr>
            </w:pPr>
            <w:r w:rsidRPr="00495438">
              <w:rPr>
                <w:rFonts w:eastAsia="Times New Roman"/>
                <w:lang w:eastAsia="tr-TR"/>
              </w:rPr>
              <w:t>1</w:t>
            </w:r>
          </w:p>
        </w:tc>
      </w:tr>
      <w:tr w:rsidR="004E1EFE" w:rsidRPr="00495438" w:rsidTr="008531CD">
        <w:trPr>
          <w:trHeight w:val="283"/>
          <w:jc w:val="center"/>
        </w:trPr>
        <w:tc>
          <w:tcPr>
            <w:tcW w:w="2500" w:type="pct"/>
            <w:shd w:val="clear" w:color="auto" w:fill="auto"/>
            <w:vAlign w:val="center"/>
          </w:tcPr>
          <w:p w:rsidR="004E1EFE" w:rsidRPr="00495438" w:rsidRDefault="004E1EFE" w:rsidP="008531CD">
            <w:pPr>
              <w:spacing w:after="0" w:line="240" w:lineRule="auto"/>
              <w:rPr>
                <w:rFonts w:eastAsia="Times New Roman"/>
                <w:lang w:eastAsia="tr-TR"/>
              </w:rPr>
            </w:pPr>
            <w:r w:rsidRPr="00822B0A">
              <w:rPr>
                <w:rFonts w:eastAsia="Times New Roman"/>
                <w:lang w:eastAsia="tr-TR"/>
              </w:rPr>
              <w:t>Reservoired</w:t>
            </w:r>
            <w:r>
              <w:rPr>
                <w:rFonts w:eastAsia="Times New Roman"/>
                <w:lang w:eastAsia="tr-TR"/>
              </w:rPr>
              <w:t>+Canal</w:t>
            </w:r>
          </w:p>
        </w:tc>
        <w:tc>
          <w:tcPr>
            <w:tcW w:w="2500" w:type="pct"/>
            <w:shd w:val="clear" w:color="auto" w:fill="auto"/>
            <w:vAlign w:val="center"/>
          </w:tcPr>
          <w:p w:rsidR="004E1EFE" w:rsidRPr="00495438" w:rsidRDefault="004E1EFE" w:rsidP="008531CD">
            <w:pPr>
              <w:spacing w:after="0" w:line="240" w:lineRule="auto"/>
              <w:jc w:val="center"/>
              <w:rPr>
                <w:rFonts w:eastAsia="Times New Roman"/>
                <w:lang w:eastAsia="tr-TR"/>
              </w:rPr>
            </w:pPr>
            <w:r>
              <w:rPr>
                <w:rFonts w:eastAsia="Times New Roman"/>
                <w:lang w:eastAsia="tr-TR"/>
              </w:rPr>
              <w:t>1</w:t>
            </w:r>
          </w:p>
        </w:tc>
      </w:tr>
      <w:tr w:rsidR="004E1EFE" w:rsidRPr="00495438" w:rsidTr="008531CD">
        <w:trPr>
          <w:trHeight w:val="283"/>
          <w:jc w:val="center"/>
        </w:trPr>
        <w:tc>
          <w:tcPr>
            <w:tcW w:w="2500" w:type="pct"/>
            <w:shd w:val="clear" w:color="auto" w:fill="auto"/>
            <w:vAlign w:val="center"/>
            <w:hideMark/>
          </w:tcPr>
          <w:p w:rsidR="004E1EFE" w:rsidRPr="00495438" w:rsidRDefault="004E1EFE" w:rsidP="008531CD">
            <w:pPr>
              <w:spacing w:after="0" w:line="240" w:lineRule="auto"/>
              <w:rPr>
                <w:rFonts w:eastAsia="Times New Roman"/>
                <w:lang w:eastAsia="tr-TR"/>
              </w:rPr>
            </w:pPr>
            <w:r>
              <w:rPr>
                <w:rFonts w:eastAsia="Times New Roman"/>
                <w:lang w:eastAsia="tr-TR"/>
              </w:rPr>
              <w:t>Wind</w:t>
            </w:r>
          </w:p>
        </w:tc>
        <w:tc>
          <w:tcPr>
            <w:tcW w:w="2500" w:type="pct"/>
            <w:shd w:val="clear" w:color="auto" w:fill="auto"/>
            <w:vAlign w:val="center"/>
            <w:hideMark/>
          </w:tcPr>
          <w:p w:rsidR="004E1EFE" w:rsidRPr="00495438" w:rsidRDefault="004E1EFE" w:rsidP="008531CD">
            <w:pPr>
              <w:spacing w:after="0" w:line="240" w:lineRule="auto"/>
              <w:jc w:val="center"/>
              <w:rPr>
                <w:rFonts w:eastAsia="Times New Roman"/>
                <w:lang w:eastAsia="tr-TR"/>
              </w:rPr>
            </w:pPr>
            <w:r w:rsidRPr="00495438">
              <w:rPr>
                <w:rFonts w:eastAsia="Times New Roman"/>
                <w:lang w:eastAsia="tr-TR"/>
              </w:rPr>
              <w:t>0,97</w:t>
            </w:r>
          </w:p>
        </w:tc>
      </w:tr>
      <w:tr w:rsidR="004E1EFE" w:rsidRPr="00495438" w:rsidTr="008531CD">
        <w:trPr>
          <w:trHeight w:val="283"/>
          <w:jc w:val="center"/>
        </w:trPr>
        <w:tc>
          <w:tcPr>
            <w:tcW w:w="2500" w:type="pct"/>
            <w:shd w:val="clear" w:color="auto" w:fill="auto"/>
            <w:vAlign w:val="center"/>
            <w:hideMark/>
          </w:tcPr>
          <w:p w:rsidR="004E1EFE" w:rsidRPr="00495438" w:rsidRDefault="004E1EFE" w:rsidP="008531CD">
            <w:pPr>
              <w:spacing w:after="0" w:line="240" w:lineRule="auto"/>
              <w:rPr>
                <w:rFonts w:eastAsia="Times New Roman"/>
                <w:lang w:eastAsia="tr-TR"/>
              </w:rPr>
            </w:pPr>
            <w:r>
              <w:rPr>
                <w:rFonts w:eastAsia="Times New Roman"/>
                <w:lang w:eastAsia="tr-TR"/>
              </w:rPr>
              <w:t>Geothermal</w:t>
            </w:r>
          </w:p>
        </w:tc>
        <w:tc>
          <w:tcPr>
            <w:tcW w:w="2500" w:type="pct"/>
            <w:shd w:val="clear" w:color="auto" w:fill="auto"/>
            <w:vAlign w:val="center"/>
            <w:hideMark/>
          </w:tcPr>
          <w:p w:rsidR="004E1EFE" w:rsidRPr="00495438" w:rsidRDefault="004E1EFE" w:rsidP="008531CD">
            <w:pPr>
              <w:spacing w:after="0" w:line="240" w:lineRule="auto"/>
              <w:jc w:val="center"/>
              <w:rPr>
                <w:rFonts w:eastAsia="Times New Roman"/>
                <w:lang w:eastAsia="tr-TR"/>
              </w:rPr>
            </w:pPr>
            <w:r w:rsidRPr="00495438">
              <w:rPr>
                <w:rFonts w:eastAsia="Times New Roman"/>
                <w:lang w:eastAsia="tr-TR"/>
              </w:rPr>
              <w:t>0,995</w:t>
            </w:r>
          </w:p>
        </w:tc>
      </w:tr>
      <w:tr w:rsidR="004E1EFE" w:rsidRPr="00495438" w:rsidTr="008531CD">
        <w:trPr>
          <w:trHeight w:val="283"/>
          <w:jc w:val="center"/>
        </w:trPr>
        <w:tc>
          <w:tcPr>
            <w:tcW w:w="2500" w:type="pct"/>
            <w:shd w:val="clear" w:color="auto" w:fill="auto"/>
            <w:vAlign w:val="center"/>
            <w:hideMark/>
          </w:tcPr>
          <w:p w:rsidR="004E1EFE" w:rsidRPr="00495438" w:rsidRDefault="004E1EFE" w:rsidP="008531CD">
            <w:pPr>
              <w:spacing w:after="0" w:line="240" w:lineRule="auto"/>
              <w:rPr>
                <w:rFonts w:eastAsia="Times New Roman"/>
                <w:lang w:eastAsia="tr-TR"/>
              </w:rPr>
            </w:pPr>
            <w:r w:rsidRPr="00495438">
              <w:rPr>
                <w:rFonts w:eastAsia="Times New Roman"/>
                <w:lang w:eastAsia="tr-TR"/>
              </w:rPr>
              <w:t>Bi</w:t>
            </w:r>
            <w:r>
              <w:rPr>
                <w:rFonts w:eastAsia="Times New Roman"/>
                <w:lang w:eastAsia="tr-TR"/>
              </w:rPr>
              <w:t>omass</w:t>
            </w:r>
          </w:p>
        </w:tc>
        <w:tc>
          <w:tcPr>
            <w:tcW w:w="2500" w:type="pct"/>
            <w:shd w:val="clear" w:color="auto" w:fill="auto"/>
            <w:vAlign w:val="center"/>
            <w:hideMark/>
          </w:tcPr>
          <w:p w:rsidR="004E1EFE" w:rsidRPr="00495438" w:rsidRDefault="004E1EFE" w:rsidP="008531CD">
            <w:pPr>
              <w:spacing w:after="0" w:line="240" w:lineRule="auto"/>
              <w:jc w:val="center"/>
              <w:rPr>
                <w:rFonts w:eastAsia="Times New Roman"/>
                <w:lang w:eastAsia="tr-TR"/>
              </w:rPr>
            </w:pPr>
            <w:r w:rsidRPr="00495438">
              <w:rPr>
                <w:rFonts w:eastAsia="Times New Roman"/>
                <w:lang w:eastAsia="tr-TR"/>
              </w:rPr>
              <w:t>0,99</w:t>
            </w:r>
          </w:p>
        </w:tc>
      </w:tr>
    </w:tbl>
    <w:p w:rsidR="004E1EFE" w:rsidRDefault="004E1EFE" w:rsidP="00FE7FEB">
      <w:pPr>
        <w:spacing w:line="240" w:lineRule="auto"/>
        <w:jc w:val="both"/>
        <w:rPr>
          <w:rFonts w:ascii="Calibri" w:hAnsi="Calibri"/>
        </w:rPr>
      </w:pPr>
    </w:p>
    <w:p w:rsidR="00FE7FEB" w:rsidRDefault="00FE7FEB" w:rsidP="00FE7FEB">
      <w:pPr>
        <w:spacing w:line="240" w:lineRule="auto"/>
        <w:jc w:val="both"/>
        <w:rPr>
          <w:rFonts w:ascii="Calibri" w:hAnsi="Calibri"/>
        </w:rPr>
      </w:pPr>
    </w:p>
    <w:p w:rsidR="005F5E6A" w:rsidRDefault="005F5E6A" w:rsidP="00FE7FEB">
      <w:pPr>
        <w:spacing w:line="240" w:lineRule="auto"/>
        <w:jc w:val="both"/>
        <w:rPr>
          <w:rFonts w:ascii="Calibri" w:hAnsi="Calibri"/>
        </w:rPr>
      </w:pPr>
    </w:p>
    <w:p w:rsidR="005F5E6A" w:rsidRDefault="005F5E6A" w:rsidP="00FE7FEB">
      <w:pPr>
        <w:spacing w:line="240" w:lineRule="auto"/>
        <w:jc w:val="both"/>
        <w:rPr>
          <w:rFonts w:ascii="Calibri" w:hAnsi="Calibri"/>
        </w:rPr>
      </w:pPr>
    </w:p>
    <w:p w:rsidR="004E1EFE" w:rsidRDefault="004E1EFE" w:rsidP="004E1EFE">
      <w:pPr>
        <w:pStyle w:val="Balk2"/>
      </w:pPr>
      <w:bookmarkStart w:id="36" w:name="_Toc12956300"/>
      <w:r w:rsidRPr="004E1EFE">
        <w:t>2.2.Natural Gas Market Legislation</w:t>
      </w:r>
      <w:bookmarkEnd w:id="36"/>
    </w:p>
    <w:p w:rsidR="004E1EFE" w:rsidRPr="004E1EFE" w:rsidRDefault="004E1EFE" w:rsidP="004E1EFE">
      <w:pPr>
        <w:rPr>
          <w:lang w:val="en-GB"/>
        </w:rPr>
      </w:pPr>
    </w:p>
    <w:p w:rsidR="004E1EFE" w:rsidRDefault="004E1EFE" w:rsidP="004E1EFE">
      <w:pPr>
        <w:pStyle w:val="Balk3"/>
      </w:pPr>
      <w:bookmarkStart w:id="37" w:name="_Toc12956301"/>
      <w:r w:rsidRPr="004E1EFE">
        <w:t>2.2.1.Law</w:t>
      </w:r>
      <w:bookmarkEnd w:id="37"/>
    </w:p>
    <w:p w:rsidR="00D32D12" w:rsidRPr="008D3F61" w:rsidRDefault="00D32D12" w:rsidP="00D32D12">
      <w:pPr>
        <w:pStyle w:val="ortabalkbold"/>
        <w:spacing w:after="0" w:line="240" w:lineRule="atLeast"/>
        <w:jc w:val="both"/>
        <w:rPr>
          <w:rFonts w:ascii="Calibri" w:eastAsia="Calibri" w:hAnsi="Calibri"/>
          <w:sz w:val="22"/>
          <w:szCs w:val="22"/>
          <w:lang w:eastAsia="en-US"/>
        </w:rPr>
      </w:pPr>
      <w:r w:rsidRPr="00D32D12">
        <w:rPr>
          <w:rFonts w:asciiTheme="minorHAnsi" w:eastAsiaTheme="minorHAnsi" w:hAnsiTheme="minorHAnsi" w:cstheme="minorBidi"/>
          <w:sz w:val="22"/>
          <w:szCs w:val="22"/>
          <w:lang w:val="en-US"/>
        </w:rPr>
        <w:t xml:space="preserve">In </w:t>
      </w:r>
      <w:r w:rsidRPr="008D3F61">
        <w:rPr>
          <w:rFonts w:asciiTheme="minorHAnsi" w:eastAsiaTheme="minorHAnsi" w:hAnsiTheme="minorHAnsi" w:cstheme="minorBidi"/>
          <w:sz w:val="22"/>
          <w:szCs w:val="22"/>
          <w:lang w:val="en-US"/>
        </w:rPr>
        <w:t>2018, the following amendments were made to the Natural Gas Market Law No. 4646;</w:t>
      </w:r>
    </w:p>
    <w:p w:rsidR="005F5E6A" w:rsidRPr="008D3F61" w:rsidRDefault="00D32D12" w:rsidP="00D32D12">
      <w:pPr>
        <w:pStyle w:val="ortabalkbold"/>
        <w:numPr>
          <w:ilvl w:val="0"/>
          <w:numId w:val="2"/>
        </w:numPr>
        <w:spacing w:after="0" w:line="240" w:lineRule="atLeast"/>
        <w:jc w:val="both"/>
        <w:rPr>
          <w:rFonts w:ascii="Calibri" w:eastAsia="Calibri" w:hAnsi="Calibri"/>
          <w:sz w:val="22"/>
          <w:szCs w:val="22"/>
          <w:lang w:eastAsia="en-US"/>
        </w:rPr>
      </w:pPr>
      <w:r w:rsidRPr="008D3F61">
        <w:rPr>
          <w:rFonts w:ascii="Calibri" w:eastAsia="Calibri" w:hAnsi="Calibri"/>
          <w:sz w:val="22"/>
          <w:szCs w:val="22"/>
          <w:lang w:eastAsia="en-US"/>
        </w:rPr>
        <w:t>Provisional of Article 50 of the Law No. 4646 on Amendment of Tax Laws and Law No. 7103 dated 21.03.2018 and Certain Laws and Decree Laws published in the Official Gazette dated 27.03.2018 and bis numbered 30373 and Temporary Law no. Article 4, paragraph 4, is amended as follows:</w:t>
      </w:r>
      <w:r w:rsidR="005F5E6A" w:rsidRPr="008D3F61">
        <w:rPr>
          <w:rFonts w:ascii="Calibri" w:eastAsia="Calibri" w:hAnsi="Calibri"/>
          <w:sz w:val="22"/>
          <w:szCs w:val="22"/>
          <w:lang w:eastAsia="en-US"/>
        </w:rPr>
        <w:t>.</w:t>
      </w:r>
      <w:r w:rsidR="005F5E6A" w:rsidRPr="008D3F61">
        <w:t xml:space="preserve"> </w:t>
      </w:r>
    </w:p>
    <w:p w:rsidR="005F5E6A" w:rsidRPr="008D3F61" w:rsidRDefault="005F5E6A" w:rsidP="005F5E6A">
      <w:pPr>
        <w:pStyle w:val="metin"/>
        <w:spacing w:before="0" w:beforeAutospacing="0" w:after="0" w:afterAutospacing="0" w:line="240" w:lineRule="atLeast"/>
        <w:ind w:left="1416"/>
        <w:jc w:val="both"/>
        <w:rPr>
          <w:rFonts w:asciiTheme="minorHAnsi" w:eastAsia="Calibri" w:hAnsiTheme="minorHAnsi"/>
          <w:i/>
          <w:sz w:val="22"/>
          <w:szCs w:val="22"/>
        </w:rPr>
      </w:pPr>
      <w:r w:rsidRPr="008D3F61">
        <w:rPr>
          <w:rFonts w:asciiTheme="minorHAnsi" w:eastAsia="Calibri" w:hAnsiTheme="minorHAnsi"/>
          <w:i/>
          <w:sz w:val="22"/>
          <w:szCs w:val="22"/>
        </w:rPr>
        <w:t>“</w:t>
      </w:r>
      <w:proofErr w:type="spellStart"/>
      <w:r w:rsidR="00D32D12" w:rsidRPr="008D3F61">
        <w:rPr>
          <w:rFonts w:asciiTheme="minorHAnsi" w:eastAsia="Calibri" w:hAnsiTheme="minorHAnsi"/>
          <w:i/>
          <w:sz w:val="22"/>
          <w:szCs w:val="22"/>
        </w:rPr>
        <w:t>However</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these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provisions</w:t>
      </w:r>
      <w:proofErr w:type="spellEnd"/>
      <w:r w:rsidR="00D32D12" w:rsidRPr="008D3F61">
        <w:rPr>
          <w:rFonts w:asciiTheme="minorHAnsi" w:eastAsia="Calibri" w:hAnsiTheme="minorHAnsi"/>
          <w:i/>
          <w:sz w:val="22"/>
          <w:szCs w:val="22"/>
        </w:rPr>
        <w:t xml:space="preserve"> do not </w:t>
      </w:r>
      <w:proofErr w:type="spellStart"/>
      <w:r w:rsidR="00D32D12" w:rsidRPr="008D3F61">
        <w:rPr>
          <w:rFonts w:asciiTheme="minorHAnsi" w:eastAsia="Calibri" w:hAnsiTheme="minorHAnsi"/>
          <w:i/>
          <w:sz w:val="22"/>
          <w:szCs w:val="22"/>
        </w:rPr>
        <w:t>apply</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to</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imports</w:t>
      </w:r>
      <w:proofErr w:type="spellEnd"/>
      <w:r w:rsidR="00D32D12" w:rsidRPr="008D3F61">
        <w:rPr>
          <w:rFonts w:asciiTheme="minorHAnsi" w:eastAsia="Calibri" w:hAnsiTheme="minorHAnsi"/>
          <w:i/>
          <w:sz w:val="22"/>
          <w:szCs w:val="22"/>
        </w:rPr>
        <w:t xml:space="preserve"> of </w:t>
      </w:r>
      <w:proofErr w:type="spellStart"/>
      <w:r w:rsidR="00D32D12" w:rsidRPr="008D3F61">
        <w:rPr>
          <w:rFonts w:asciiTheme="minorHAnsi" w:eastAsia="Calibri" w:hAnsiTheme="minorHAnsi"/>
          <w:i/>
          <w:sz w:val="22"/>
          <w:szCs w:val="22"/>
        </w:rPr>
        <w:t>liquefied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natural</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gas</w:t>
      </w:r>
      <w:proofErr w:type="spellEnd"/>
      <w:r w:rsidR="00D32D12" w:rsidRPr="008D3F61">
        <w:rPr>
          <w:rFonts w:asciiTheme="minorHAnsi" w:eastAsia="Calibri" w:hAnsiTheme="minorHAnsi"/>
          <w:i/>
          <w:sz w:val="22"/>
          <w:szCs w:val="22"/>
        </w:rPr>
        <w:t xml:space="preserve"> (LNG), spot </w:t>
      </w:r>
      <w:proofErr w:type="spellStart"/>
      <w:r w:rsidR="00D32D12" w:rsidRPr="008D3F61">
        <w:rPr>
          <w:rFonts w:asciiTheme="minorHAnsi" w:eastAsia="Calibri" w:hAnsiTheme="minorHAnsi"/>
          <w:i/>
          <w:sz w:val="22"/>
          <w:szCs w:val="22"/>
        </w:rPr>
        <w:t>pipe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gas</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and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compressed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natural</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gas</w:t>
      </w:r>
      <w:proofErr w:type="spellEnd"/>
      <w:r w:rsidR="00D32D12" w:rsidRPr="008D3F61">
        <w:rPr>
          <w:rFonts w:asciiTheme="minorHAnsi" w:eastAsia="Calibri" w:hAnsiTheme="minorHAnsi"/>
          <w:i/>
          <w:sz w:val="22"/>
          <w:szCs w:val="22"/>
        </w:rPr>
        <w:t xml:space="preserve"> (CNG). </w:t>
      </w:r>
      <w:proofErr w:type="spellStart"/>
      <w:r w:rsidR="00D32D12" w:rsidRPr="008D3F61">
        <w:rPr>
          <w:rFonts w:asciiTheme="minorHAnsi" w:eastAsia="Calibri" w:hAnsiTheme="minorHAnsi"/>
          <w:i/>
          <w:sz w:val="22"/>
          <w:szCs w:val="22"/>
        </w:rPr>
        <w:t>In</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addition</w:t>
      </w:r>
      <w:proofErr w:type="spellEnd"/>
      <w:r w:rsidR="00D32D12" w:rsidRPr="008D3F61">
        <w:rPr>
          <w:rFonts w:asciiTheme="minorHAnsi" w:eastAsia="Calibri" w:hAnsiTheme="minorHAnsi"/>
          <w:i/>
          <w:sz w:val="22"/>
          <w:szCs w:val="22"/>
        </w:rPr>
        <w:t xml:space="preserve">, in </w:t>
      </w:r>
      <w:proofErr w:type="spellStart"/>
      <w:r w:rsidR="00D32D12" w:rsidRPr="008D3F61">
        <w:rPr>
          <w:rFonts w:asciiTheme="minorHAnsi" w:eastAsia="Calibri" w:hAnsiTheme="minorHAnsi"/>
          <w:i/>
          <w:sz w:val="22"/>
          <w:szCs w:val="22"/>
        </w:rPr>
        <w:t>the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import</w:t>
      </w:r>
      <w:proofErr w:type="spellEnd"/>
      <w:r w:rsidR="00D32D12" w:rsidRPr="008D3F61">
        <w:rPr>
          <w:rFonts w:asciiTheme="minorHAnsi" w:eastAsia="Calibri" w:hAnsiTheme="minorHAnsi"/>
          <w:i/>
          <w:sz w:val="22"/>
          <w:szCs w:val="22"/>
        </w:rPr>
        <w:t xml:space="preserve"> of spot </w:t>
      </w:r>
      <w:proofErr w:type="spellStart"/>
      <w:r w:rsidR="00D32D12" w:rsidRPr="008D3F61">
        <w:rPr>
          <w:rFonts w:asciiTheme="minorHAnsi" w:eastAsia="Calibri" w:hAnsiTheme="minorHAnsi"/>
          <w:i/>
          <w:sz w:val="22"/>
          <w:szCs w:val="22"/>
        </w:rPr>
        <w:t>liquefied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natural</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gas</w:t>
      </w:r>
      <w:proofErr w:type="spellEnd"/>
      <w:r w:rsidR="00D32D12" w:rsidRPr="008D3F61">
        <w:rPr>
          <w:rFonts w:asciiTheme="minorHAnsi" w:eastAsia="Calibri" w:hAnsiTheme="minorHAnsi"/>
          <w:i/>
          <w:sz w:val="22"/>
          <w:szCs w:val="22"/>
        </w:rPr>
        <w:t xml:space="preserve"> (LNG), spot </w:t>
      </w:r>
      <w:proofErr w:type="spellStart"/>
      <w:r w:rsidR="00D32D12" w:rsidRPr="008D3F61">
        <w:rPr>
          <w:rFonts w:asciiTheme="minorHAnsi" w:eastAsia="Calibri" w:hAnsiTheme="minorHAnsi"/>
          <w:i/>
          <w:sz w:val="22"/>
          <w:szCs w:val="22"/>
        </w:rPr>
        <w:t>pipe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gas</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and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compressed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natural</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gas</w:t>
      </w:r>
      <w:proofErr w:type="spellEnd"/>
      <w:r w:rsidR="00D32D12" w:rsidRPr="008D3F61">
        <w:rPr>
          <w:rFonts w:asciiTheme="minorHAnsi" w:eastAsia="Calibri" w:hAnsiTheme="minorHAnsi"/>
          <w:i/>
          <w:sz w:val="22"/>
          <w:szCs w:val="22"/>
        </w:rPr>
        <w:t xml:space="preserve"> (CNG), </w:t>
      </w:r>
      <w:proofErr w:type="spellStart"/>
      <w:r w:rsidR="00D32D12" w:rsidRPr="008D3F61">
        <w:rPr>
          <w:rFonts w:asciiTheme="minorHAnsi" w:eastAsia="Calibri" w:hAnsiTheme="minorHAnsi"/>
          <w:i/>
          <w:sz w:val="22"/>
          <w:szCs w:val="22"/>
        </w:rPr>
        <w:t>subparagraphs</w:t>
      </w:r>
      <w:proofErr w:type="spellEnd"/>
      <w:r w:rsidR="00D32D12" w:rsidRPr="008D3F61">
        <w:rPr>
          <w:rFonts w:asciiTheme="minorHAnsi" w:eastAsia="Calibri" w:hAnsiTheme="minorHAnsi"/>
          <w:i/>
          <w:sz w:val="22"/>
          <w:szCs w:val="22"/>
        </w:rPr>
        <w:t xml:space="preserve"> (2), (3) </w:t>
      </w:r>
      <w:proofErr w:type="spellStart"/>
      <w:r w:rsidR="00D32D12" w:rsidRPr="008D3F61">
        <w:rPr>
          <w:rFonts w:asciiTheme="minorHAnsi" w:eastAsia="Calibri" w:hAnsiTheme="minorHAnsi"/>
          <w:i/>
          <w:sz w:val="22"/>
          <w:szCs w:val="22"/>
        </w:rPr>
        <w:t>and</w:t>
      </w:r>
      <w:proofErr w:type="spellEnd"/>
      <w:r w:rsidR="00D32D12" w:rsidRPr="008D3F61">
        <w:rPr>
          <w:rFonts w:asciiTheme="minorHAnsi" w:eastAsia="Calibri" w:hAnsiTheme="minorHAnsi"/>
          <w:i/>
          <w:sz w:val="22"/>
          <w:szCs w:val="22"/>
        </w:rPr>
        <w:t xml:space="preserve"> (4) of </w:t>
      </w:r>
      <w:proofErr w:type="spellStart"/>
      <w:r w:rsidR="00D32D12" w:rsidRPr="008D3F61">
        <w:rPr>
          <w:rFonts w:asciiTheme="minorHAnsi" w:eastAsia="Calibri" w:hAnsiTheme="minorHAnsi"/>
          <w:i/>
          <w:sz w:val="22"/>
          <w:szCs w:val="22"/>
        </w:rPr>
        <w:t>subparagraph</w:t>
      </w:r>
      <w:proofErr w:type="spellEnd"/>
      <w:r w:rsidR="00D32D12" w:rsidRPr="008D3F61">
        <w:rPr>
          <w:rFonts w:asciiTheme="minorHAnsi" w:eastAsia="Calibri" w:hAnsiTheme="minorHAnsi"/>
          <w:i/>
          <w:sz w:val="22"/>
          <w:szCs w:val="22"/>
        </w:rPr>
        <w:t xml:space="preserve"> (a) of </w:t>
      </w:r>
      <w:proofErr w:type="spellStart"/>
      <w:r w:rsidR="00D32D12" w:rsidRPr="008D3F61">
        <w:rPr>
          <w:rFonts w:asciiTheme="minorHAnsi" w:eastAsia="Calibri" w:hAnsiTheme="minorHAnsi"/>
          <w:i/>
          <w:sz w:val="22"/>
          <w:szCs w:val="22"/>
        </w:rPr>
        <w:t>the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fourth</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paragraph</w:t>
      </w:r>
      <w:proofErr w:type="spellEnd"/>
      <w:r w:rsidR="00D32D12" w:rsidRPr="008D3F61">
        <w:rPr>
          <w:rFonts w:asciiTheme="minorHAnsi" w:eastAsia="Calibri" w:hAnsiTheme="minorHAnsi"/>
          <w:i/>
          <w:sz w:val="22"/>
          <w:szCs w:val="22"/>
        </w:rPr>
        <w:t xml:space="preserve"> of </w:t>
      </w:r>
      <w:proofErr w:type="spellStart"/>
      <w:r w:rsidR="00D32D12" w:rsidRPr="008D3F61">
        <w:rPr>
          <w:rFonts w:asciiTheme="minorHAnsi" w:eastAsia="Calibri" w:hAnsiTheme="minorHAnsi"/>
          <w:i/>
          <w:sz w:val="22"/>
          <w:szCs w:val="22"/>
        </w:rPr>
        <w:t>article</w:t>
      </w:r>
      <w:proofErr w:type="spellEnd"/>
      <w:r w:rsidR="00D32D12" w:rsidRPr="008D3F61">
        <w:rPr>
          <w:rFonts w:asciiTheme="minorHAnsi" w:eastAsia="Calibri" w:hAnsiTheme="minorHAnsi"/>
          <w:i/>
          <w:sz w:val="22"/>
          <w:szCs w:val="22"/>
        </w:rPr>
        <w:t xml:space="preserve"> 4 of </w:t>
      </w:r>
      <w:proofErr w:type="spellStart"/>
      <w:r w:rsidR="00D32D12" w:rsidRPr="008D3F61">
        <w:rPr>
          <w:rFonts w:asciiTheme="minorHAnsi" w:eastAsia="Calibri" w:hAnsiTheme="minorHAnsi"/>
          <w:i/>
          <w:sz w:val="22"/>
          <w:szCs w:val="22"/>
        </w:rPr>
        <w:t>this</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Law</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and</w:t>
      </w:r>
      <w:proofErr w:type="spellEnd"/>
      <w:r w:rsidR="00D32D12" w:rsidRPr="008D3F61">
        <w:rPr>
          <w:rFonts w:asciiTheme="minorHAnsi" w:eastAsia="Calibri" w:hAnsiTheme="minorHAnsi"/>
          <w:i/>
          <w:sz w:val="22"/>
          <w:szCs w:val="22"/>
        </w:rPr>
        <w:t xml:space="preserve"> (4) </w:t>
      </w:r>
      <w:proofErr w:type="gramStart"/>
      <w:r w:rsidR="00D32D12" w:rsidRPr="008D3F61">
        <w:rPr>
          <w:rFonts w:asciiTheme="minorHAnsi" w:eastAsia="Calibri" w:hAnsiTheme="minorHAnsi"/>
          <w:i/>
          <w:sz w:val="22"/>
          <w:szCs w:val="22"/>
        </w:rPr>
        <w:t>)</w:t>
      </w:r>
      <w:proofErr w:type="gram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sub-clause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no</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The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amount</w:t>
      </w:r>
      <w:proofErr w:type="spellEnd"/>
      <w:r w:rsidR="00D32D12" w:rsidRPr="008D3F61">
        <w:rPr>
          <w:rFonts w:asciiTheme="minorHAnsi" w:eastAsia="Calibri" w:hAnsiTheme="minorHAnsi"/>
          <w:i/>
          <w:sz w:val="22"/>
          <w:szCs w:val="22"/>
        </w:rPr>
        <w:t xml:space="preserve"> of spot </w:t>
      </w:r>
      <w:proofErr w:type="spellStart"/>
      <w:r w:rsidR="00D32D12" w:rsidRPr="008D3F61">
        <w:rPr>
          <w:rFonts w:asciiTheme="minorHAnsi" w:eastAsia="Calibri" w:hAnsiTheme="minorHAnsi"/>
          <w:i/>
          <w:sz w:val="22"/>
          <w:szCs w:val="22"/>
        </w:rPr>
        <w:t>pipe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gas</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import</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and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application</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method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that</w:t>
      </w:r>
      <w:proofErr w:type="spellEnd"/>
      <w:r w:rsidR="00D32D12" w:rsidRPr="008D3F61">
        <w:rPr>
          <w:rFonts w:asciiTheme="minorHAnsi" w:eastAsia="Calibri" w:hAnsiTheme="minorHAnsi"/>
          <w:i/>
          <w:sz w:val="22"/>
          <w:szCs w:val="22"/>
        </w:rPr>
        <w:t xml:space="preserve"> can be </w:t>
      </w:r>
      <w:proofErr w:type="spellStart"/>
      <w:r w:rsidR="00D32D12" w:rsidRPr="008D3F61">
        <w:rPr>
          <w:rFonts w:asciiTheme="minorHAnsi" w:eastAsia="Calibri" w:hAnsiTheme="minorHAnsi"/>
          <w:i/>
          <w:sz w:val="22"/>
          <w:szCs w:val="22"/>
        </w:rPr>
        <w:t>made</w:t>
      </w:r>
      <w:proofErr w:type="spellEnd"/>
      <w:r w:rsidR="00D32D12" w:rsidRPr="008D3F61">
        <w:rPr>
          <w:rFonts w:asciiTheme="minorHAnsi" w:eastAsia="Calibri" w:hAnsiTheme="minorHAnsi"/>
          <w:i/>
          <w:sz w:val="22"/>
          <w:szCs w:val="22"/>
        </w:rPr>
        <w:t xml:space="preserve"> in a </w:t>
      </w:r>
      <w:proofErr w:type="spellStart"/>
      <w:r w:rsidR="00D32D12" w:rsidRPr="008D3F61">
        <w:rPr>
          <w:rFonts w:asciiTheme="minorHAnsi" w:eastAsia="Calibri" w:hAnsiTheme="minorHAnsi"/>
          <w:i/>
          <w:sz w:val="22"/>
          <w:szCs w:val="22"/>
        </w:rPr>
        <w:t>calendar</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year</w:t>
      </w:r>
      <w:proofErr w:type="spellEnd"/>
      <w:r w:rsidR="00D32D12" w:rsidRPr="008D3F61">
        <w:rPr>
          <w:rFonts w:asciiTheme="minorHAnsi" w:eastAsia="Calibri" w:hAnsiTheme="minorHAnsi"/>
          <w:i/>
          <w:sz w:val="22"/>
          <w:szCs w:val="22"/>
        </w:rPr>
        <w:t xml:space="preserve"> is </w:t>
      </w:r>
      <w:proofErr w:type="spellStart"/>
      <w:r w:rsidR="00D32D12" w:rsidRPr="008D3F61">
        <w:rPr>
          <w:rFonts w:asciiTheme="minorHAnsi" w:eastAsia="Calibri" w:hAnsiTheme="minorHAnsi"/>
          <w:i/>
          <w:sz w:val="22"/>
          <w:szCs w:val="22"/>
        </w:rPr>
        <w:t>determined</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by</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the</w:t>
      </w:r>
      <w:proofErr w:type="spellEnd"/>
      <w:r w:rsidR="00D32D12" w:rsidRPr="008D3F61">
        <w:rPr>
          <w:rFonts w:asciiTheme="minorHAnsi" w:eastAsia="Calibri" w:hAnsiTheme="minorHAnsi"/>
          <w:i/>
          <w:sz w:val="22"/>
          <w:szCs w:val="22"/>
        </w:rPr>
        <w:t xml:space="preserve"> Board </w:t>
      </w:r>
      <w:proofErr w:type="spellStart"/>
      <w:r w:rsidR="00D32D12" w:rsidRPr="008D3F61">
        <w:rPr>
          <w:rFonts w:asciiTheme="minorHAnsi" w:eastAsia="Calibri" w:hAnsiTheme="minorHAnsi"/>
          <w:i/>
          <w:sz w:val="22"/>
          <w:szCs w:val="22"/>
        </w:rPr>
        <w:t>by</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taking</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the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opinion</w:t>
      </w:r>
      <w:proofErr w:type="spellEnd"/>
      <w:r w:rsidR="00D32D12" w:rsidRPr="008D3F61">
        <w:rPr>
          <w:rFonts w:asciiTheme="minorHAnsi" w:eastAsia="Calibri" w:hAnsiTheme="minorHAnsi"/>
          <w:i/>
          <w:sz w:val="22"/>
          <w:szCs w:val="22"/>
        </w:rPr>
        <w:t xml:space="preserve"> of </w:t>
      </w:r>
      <w:proofErr w:type="spellStart"/>
      <w:r w:rsidR="00D32D12" w:rsidRPr="008D3F61">
        <w:rPr>
          <w:rFonts w:asciiTheme="minorHAnsi" w:eastAsia="Calibri" w:hAnsiTheme="minorHAnsi"/>
          <w:i/>
          <w:sz w:val="22"/>
          <w:szCs w:val="22"/>
        </w:rPr>
        <w:t>the</w:t>
      </w:r>
      <w:proofErr w:type="spellEnd"/>
      <w:r w:rsidR="00D32D12" w:rsidRPr="008D3F61">
        <w:rPr>
          <w:rFonts w:asciiTheme="minorHAnsi" w:eastAsia="Calibri" w:hAnsiTheme="minorHAnsi"/>
          <w:i/>
          <w:sz w:val="22"/>
          <w:szCs w:val="22"/>
        </w:rPr>
        <w:t xml:space="preserve"> </w:t>
      </w:r>
      <w:proofErr w:type="spellStart"/>
      <w:r w:rsidR="00D32D12" w:rsidRPr="008D3F61">
        <w:rPr>
          <w:rFonts w:asciiTheme="minorHAnsi" w:eastAsia="Calibri" w:hAnsiTheme="minorHAnsi"/>
          <w:i/>
          <w:sz w:val="22"/>
          <w:szCs w:val="22"/>
        </w:rPr>
        <w:t>Ministry</w:t>
      </w:r>
      <w:proofErr w:type="spellEnd"/>
      <w:r w:rsidR="00D32D12" w:rsidRPr="008D3F61">
        <w:rPr>
          <w:rFonts w:asciiTheme="minorHAnsi" w:eastAsia="Calibri" w:hAnsiTheme="minorHAnsi"/>
          <w:i/>
          <w:sz w:val="22"/>
          <w:szCs w:val="22"/>
        </w:rPr>
        <w:t xml:space="preserve">”. </w:t>
      </w:r>
    </w:p>
    <w:p w:rsidR="00D32D12" w:rsidRPr="008D3F61" w:rsidRDefault="00D32D12" w:rsidP="005F5E6A">
      <w:pPr>
        <w:pStyle w:val="metin"/>
        <w:spacing w:before="0" w:beforeAutospacing="0" w:after="0" w:afterAutospacing="0" w:line="240" w:lineRule="atLeast"/>
        <w:ind w:left="1416"/>
        <w:jc w:val="both"/>
        <w:rPr>
          <w:rFonts w:asciiTheme="minorHAnsi" w:eastAsia="Calibri" w:hAnsiTheme="minorHAnsi"/>
          <w:i/>
          <w:sz w:val="22"/>
          <w:szCs w:val="22"/>
        </w:rPr>
      </w:pPr>
    </w:p>
    <w:p w:rsidR="00FE7FEB" w:rsidRPr="008D3F61" w:rsidRDefault="004E1EFE" w:rsidP="004E1EFE">
      <w:pPr>
        <w:pStyle w:val="Balk3"/>
      </w:pPr>
      <w:bookmarkStart w:id="38" w:name="_Toc12956302"/>
      <w:r w:rsidRPr="008D3F61">
        <w:t>2.2.2.Regulations</w:t>
      </w:r>
      <w:bookmarkEnd w:id="38"/>
    </w:p>
    <w:p w:rsidR="005F5E6A" w:rsidRPr="008D3F61" w:rsidRDefault="00D32D12" w:rsidP="005F5E6A">
      <w:pPr>
        <w:spacing w:after="0"/>
        <w:jc w:val="both"/>
        <w:rPr>
          <w:color w:val="000000" w:themeColor="text1"/>
        </w:rPr>
      </w:pPr>
      <w:r w:rsidRPr="008D3F61">
        <w:rPr>
          <w:color w:val="000000" w:themeColor="text1"/>
        </w:rPr>
        <w:t>In 2018, the following amendments were made to the natural gas market:</w:t>
      </w:r>
    </w:p>
    <w:p w:rsidR="00D32D12" w:rsidRPr="008D3F61" w:rsidRDefault="00D32D12" w:rsidP="005F5E6A">
      <w:pPr>
        <w:spacing w:after="0"/>
        <w:jc w:val="both"/>
        <w:rPr>
          <w:color w:val="000000" w:themeColor="text1"/>
        </w:rPr>
      </w:pPr>
    </w:p>
    <w:p w:rsidR="005F5E6A" w:rsidRPr="008D3F61" w:rsidRDefault="0014216E" w:rsidP="0014216E">
      <w:pPr>
        <w:pStyle w:val="ListeParagraf"/>
        <w:numPr>
          <w:ilvl w:val="0"/>
          <w:numId w:val="2"/>
        </w:numPr>
        <w:spacing w:after="0" w:line="240" w:lineRule="atLeast"/>
        <w:jc w:val="both"/>
        <w:rPr>
          <w:color w:val="000000"/>
        </w:rPr>
      </w:pPr>
      <w:r w:rsidRPr="008D3F61">
        <w:rPr>
          <w:color w:val="000000" w:themeColor="text1"/>
        </w:rPr>
        <w:t>Amendment was made to the definition of "Pre-paid meter" in Article 4 of the“ Definitions and Abbreviations" of the Regulation on Amendment to the Natural Gas Market Distribution and Customer Services published in the Official Gazette dated 29.07.2018 and numbered 30493 and amended the Article 40 entitled "Meter". A provision has been added that Turkish Lira loading / Turkish Lira correction / Turkish Lira sales methods can be applied to the prepaid meters currently in use. The amendments are effective as of the date of publication.</w:t>
      </w:r>
    </w:p>
    <w:p w:rsidR="005F5E6A" w:rsidRPr="008D3F61" w:rsidRDefault="005F5E6A" w:rsidP="0014216E">
      <w:pPr>
        <w:pStyle w:val="ListeParagraf"/>
        <w:numPr>
          <w:ilvl w:val="0"/>
          <w:numId w:val="41"/>
        </w:numPr>
        <w:spacing w:after="0" w:line="240" w:lineRule="atLeast"/>
        <w:jc w:val="both"/>
        <w:rPr>
          <w:i/>
        </w:rPr>
      </w:pPr>
      <w:r w:rsidRPr="008D3F61">
        <w:rPr>
          <w:color w:val="000000" w:themeColor="text1"/>
        </w:rPr>
        <w:t xml:space="preserve"> </w:t>
      </w:r>
      <w:r w:rsidR="0014216E" w:rsidRPr="008D3F61">
        <w:rPr>
          <w:color w:val="000000" w:themeColor="text1"/>
        </w:rPr>
        <w:t>With the Amendment Regulation published in the Official Gazette dated 13.10.2018 and numbered 30564, the definition of “Subscriber Connection Fee” was amended in Article 4 of the Natural Gas Market Distribution and Customer Services Regulation titled “Definitions and Abbreviations.. The amendment is effective as of the date of publication.</w:t>
      </w:r>
    </w:p>
    <w:p w:rsidR="005F5E6A" w:rsidRPr="008D3F61" w:rsidRDefault="0014216E" w:rsidP="0014216E">
      <w:pPr>
        <w:pStyle w:val="ListeParagraf"/>
        <w:widowControl w:val="0"/>
        <w:numPr>
          <w:ilvl w:val="0"/>
          <w:numId w:val="41"/>
        </w:numPr>
        <w:overflowPunct w:val="0"/>
        <w:autoSpaceDE w:val="0"/>
        <w:autoSpaceDN w:val="0"/>
        <w:adjustRightInd w:val="0"/>
        <w:spacing w:after="0" w:line="240" w:lineRule="atLeast"/>
        <w:jc w:val="both"/>
        <w:textAlignment w:val="baseline"/>
        <w:rPr>
          <w:i/>
          <w:lang w:eastAsia="tr-TR"/>
        </w:rPr>
      </w:pPr>
      <w:r w:rsidRPr="008D3F61">
        <w:rPr>
          <w:color w:val="000000" w:themeColor="text1"/>
        </w:rPr>
        <w:t>he provisions of the Amendment Regulation published in the Official Gazette dated 17.04.2018 and numbered 30394 and the provisions that will allow the Authority to grant licenses in the Natural Gas Market License Regulation, and which licenses shall be issued, renewed and amended by the Authority shall be included in the Regulation. and the obligation to obtain a license ”in Article 5, ında Amendment of Licenses dördüncü, in the fourth paragraph of Article 14, 42 Share Transfer 42 and in the first, third and fifth paragraphs of Article 42, and some provisions are added. The amendments are effective as of the date of publication.</w:t>
      </w:r>
    </w:p>
    <w:p w:rsidR="005F5E6A" w:rsidRPr="008D3F61" w:rsidRDefault="0014216E" w:rsidP="0014216E">
      <w:pPr>
        <w:pStyle w:val="ListeParagraf"/>
        <w:numPr>
          <w:ilvl w:val="0"/>
          <w:numId w:val="41"/>
        </w:numPr>
        <w:spacing w:after="0" w:line="300" w:lineRule="atLeast"/>
        <w:jc w:val="both"/>
      </w:pPr>
      <w:r w:rsidRPr="008D3F61">
        <w:rPr>
          <w:color w:val="000000" w:themeColor="text1"/>
        </w:rPr>
        <w:t>Amendment Regulation published in the Official Gazette dated 10.01.2018 and numbered 30297 and the Natural Gas Market Certificate Regulation; Article 3 titled ukuki Legal basis,, Article 4 titled “Definitions esinde,“ Certificate lı, “City” and “Approved identity card” def</w:t>
      </w:r>
      <w:r w:rsidR="008D3F61">
        <w:rPr>
          <w:color w:val="000000" w:themeColor="text1"/>
        </w:rPr>
        <w:t xml:space="preserve">initions, Article 7 titled </w:t>
      </w:r>
      <w:r w:rsidRPr="008D3F61">
        <w:rPr>
          <w:color w:val="000000" w:themeColor="text1"/>
        </w:rPr>
        <w:t>Types of certificates,, Article 9 titled ular Certificate and authorization documents ” Article 10, entitled ular Certificate and Authorization Certificate Applications,, Article 11, birinci Rights and Obligations of the Certificate Holder ile and hak Rights and Obligations of the Certificate Holder 12. The first clause of the Article 1, the first paragraph of the article 13, entitled 4 Certificate Fees and Participation 4, the title of the 4th Section, “Amendment, Visa, Renewal, Termination and Cancellation of Certificates İptali, Article 15” Amendment of Certificates ” renewal ”head Article 21, ıklı Audits and complaints değiştirilmiş has been amended, a new article entitled esi Visa of Certificates Madde (Article 15 / A) has been added, Article 24, “Notices Geçici, Provisional 1, Provisional 2, Provisional 4, Provisional 5, Provisional Articles 6, Provisional 7, Provisional 8 and Provisional 9 have been repealed and the following Provisional 10 and Provisional 11 articles have been added to the Regulation. On the other hand, Annex-1, Annex-2, Annex-3, Annex-4, Annex-5, Annex-6 of the Regulation have been amended and Annex-7, Annex-8, Annex-9, Annex- 10, Annex-11, Annex-12 and Annex-13 are added. The said amendment entered into force on the date of publication, starting from 01.07.2018 on the application of the Approved ID card.</w:t>
      </w:r>
    </w:p>
    <w:p w:rsidR="005F5E6A" w:rsidRPr="008D3F61" w:rsidRDefault="0014216E" w:rsidP="0014216E">
      <w:pPr>
        <w:pStyle w:val="ListeParagraf"/>
        <w:widowControl w:val="0"/>
        <w:numPr>
          <w:ilvl w:val="0"/>
          <w:numId w:val="41"/>
        </w:numPr>
        <w:overflowPunct w:val="0"/>
        <w:autoSpaceDE w:val="0"/>
        <w:autoSpaceDN w:val="0"/>
        <w:adjustRightInd w:val="0"/>
        <w:spacing w:after="200" w:line="276" w:lineRule="auto"/>
        <w:jc w:val="both"/>
        <w:textAlignment w:val="baseline"/>
        <w:rPr>
          <w:spacing w:val="-5"/>
        </w:rPr>
      </w:pPr>
      <w:r w:rsidRPr="008D3F61">
        <w:rPr>
          <w:color w:val="000000" w:themeColor="text1"/>
        </w:rPr>
        <w:t>With the Amendment Regulation published in the Official Gazette dated 04.09.2018 and numbered 30525 Provisional Article 11 of the Natural Gas Market Certificate Regulation was amended as "The application regarding the approved identity card starts as of 01.01.2019 ”.</w:t>
      </w:r>
    </w:p>
    <w:p w:rsidR="005F5E6A" w:rsidRPr="00BF5916" w:rsidRDefault="008D3F61" w:rsidP="008D3F61">
      <w:pPr>
        <w:pStyle w:val="ListeParagraf"/>
        <w:widowControl w:val="0"/>
        <w:numPr>
          <w:ilvl w:val="0"/>
          <w:numId w:val="41"/>
        </w:numPr>
        <w:overflowPunct w:val="0"/>
        <w:autoSpaceDE w:val="0"/>
        <w:autoSpaceDN w:val="0"/>
        <w:adjustRightInd w:val="0"/>
        <w:spacing w:after="0" w:line="240" w:lineRule="atLeast"/>
        <w:jc w:val="both"/>
        <w:textAlignment w:val="baseline"/>
        <w:rPr>
          <w:color w:val="000000" w:themeColor="text1"/>
        </w:rPr>
      </w:pPr>
      <w:r w:rsidRPr="00BF5916">
        <w:rPr>
          <w:color w:val="000000" w:themeColor="text1"/>
        </w:rPr>
        <w:t>With the Amending  Regulation published in the Official Gazette dated 22.12.2018 and numbered 30633, the following clause was added to the Article 18 of the Natural Gas Market Certificate Regulation “In case it is determined as a result of the investigation to be carried out that the certificate holders act in a way that endangers  life safety, has the meaning that the conditions for grandting the license is no longer valid and   the certificate may be revoked by the Board without any written notice". Also provisional Artcile 12 on submission of covenant was added.  In addition, an amendment was made in the Commitment submitted for the Internal Installation Certificate in the Regulation. The amendments are effective as of the date of publication.</w:t>
      </w:r>
    </w:p>
    <w:p w:rsidR="005F5E6A" w:rsidRPr="00BF5916" w:rsidRDefault="008D3F61" w:rsidP="008D3F61">
      <w:pPr>
        <w:pStyle w:val="ListeParagraf"/>
        <w:widowControl w:val="0"/>
        <w:numPr>
          <w:ilvl w:val="0"/>
          <w:numId w:val="41"/>
        </w:numPr>
        <w:tabs>
          <w:tab w:val="left" w:pos="1134"/>
        </w:tabs>
        <w:overflowPunct w:val="0"/>
        <w:autoSpaceDE w:val="0"/>
        <w:autoSpaceDN w:val="0"/>
        <w:adjustRightInd w:val="0"/>
        <w:spacing w:after="0" w:line="240" w:lineRule="atLeast"/>
        <w:jc w:val="both"/>
        <w:textAlignment w:val="baseline"/>
        <w:rPr>
          <w:color w:val="000000" w:themeColor="text1"/>
        </w:rPr>
      </w:pPr>
      <w:r w:rsidRPr="008D3F61">
        <w:rPr>
          <w:color w:val="000000" w:themeColor="text1"/>
        </w:rPr>
        <w:t>With the Amending Regulation published in the Official Gazette dated 27.09.2018 and numbered 30548  the Article 10 of the Natural Gas Market Tariffs Regulation  titled “tariff revision" was amended. The amendment is effective as of the date of publication.</w:t>
      </w:r>
    </w:p>
    <w:p w:rsidR="005F5E6A" w:rsidRPr="00BF5916" w:rsidRDefault="005F5E6A" w:rsidP="004E1EFE">
      <w:pPr>
        <w:pStyle w:val="Balk3"/>
        <w:rPr>
          <w:rFonts w:eastAsiaTheme="minorHAnsi" w:cstheme="minorBidi"/>
          <w:b w:val="0"/>
          <w:color w:val="000000" w:themeColor="text1"/>
          <w:sz w:val="22"/>
          <w:szCs w:val="22"/>
          <w:lang w:val="en-US"/>
        </w:rPr>
      </w:pPr>
      <w:bookmarkStart w:id="39" w:name="_Toc12956303"/>
    </w:p>
    <w:p w:rsidR="00FE7FEB" w:rsidRPr="008D3F61" w:rsidRDefault="004E1EFE" w:rsidP="004E1EFE">
      <w:pPr>
        <w:pStyle w:val="Balk3"/>
        <w:rPr>
          <w:rFonts w:ascii="Calibri" w:hAnsi="Calibri"/>
        </w:rPr>
      </w:pPr>
      <w:r w:rsidRPr="008D3F61">
        <w:rPr>
          <w:rFonts w:ascii="Calibri" w:hAnsi="Calibri"/>
        </w:rPr>
        <w:t>2.2.3.</w:t>
      </w:r>
      <w:r w:rsidRPr="008D3F61">
        <w:t xml:space="preserve"> Communiqués</w:t>
      </w:r>
      <w:bookmarkEnd w:id="39"/>
    </w:p>
    <w:p w:rsidR="00FE7FEB" w:rsidRPr="008D3F61" w:rsidRDefault="004E1EFE" w:rsidP="00FE7FEB">
      <w:pPr>
        <w:spacing w:line="240" w:lineRule="auto"/>
        <w:jc w:val="both"/>
        <w:rPr>
          <w:rFonts w:ascii="Calibri" w:hAnsi="Calibri"/>
        </w:rPr>
      </w:pPr>
      <w:r w:rsidRPr="008D3F61">
        <w:rPr>
          <w:rFonts w:ascii="Calibri" w:hAnsi="Calibri"/>
        </w:rPr>
        <w:t xml:space="preserve">In 2018, the following Communiqué </w:t>
      </w:r>
      <w:r w:rsidR="008D3F61" w:rsidRPr="008D3F61">
        <w:rPr>
          <w:rFonts w:ascii="Calibri" w:hAnsi="Calibri"/>
        </w:rPr>
        <w:t>studies were</w:t>
      </w:r>
      <w:r w:rsidRPr="008D3F61">
        <w:rPr>
          <w:rFonts w:ascii="Calibri" w:hAnsi="Calibri"/>
        </w:rPr>
        <w:t xml:space="preserve"> carried out in the natural gas market:</w:t>
      </w:r>
    </w:p>
    <w:p w:rsidR="005F5E6A" w:rsidRPr="008D3F61" w:rsidRDefault="005F5E6A" w:rsidP="005F5E6A">
      <w:pPr>
        <w:spacing w:after="0"/>
        <w:jc w:val="both"/>
        <w:rPr>
          <w:color w:val="000000" w:themeColor="text1"/>
        </w:rPr>
      </w:pPr>
    </w:p>
    <w:p w:rsidR="005F5E6A" w:rsidRPr="008D3F61" w:rsidRDefault="008D3F61" w:rsidP="008D3F61">
      <w:pPr>
        <w:pStyle w:val="ListeParagraf"/>
        <w:numPr>
          <w:ilvl w:val="0"/>
          <w:numId w:val="42"/>
        </w:numPr>
        <w:spacing w:after="240" w:line="264" w:lineRule="auto"/>
        <w:jc w:val="both"/>
        <w:rPr>
          <w:sz w:val="23"/>
          <w:szCs w:val="23"/>
        </w:rPr>
      </w:pPr>
      <w:r w:rsidRPr="008D3F61">
        <w:t>Published in the Official Gazette dated 21.12.2018 and numbered 30632, the Communiqué regarding the Administrative Fines to be Applied in 2019 Pursuant to Article 9 of the Natural Gas Market Law no.4646 was put into effect.</w:t>
      </w:r>
    </w:p>
    <w:p w:rsidR="00FE7FEB" w:rsidRPr="008D3F61" w:rsidRDefault="005E66B3" w:rsidP="004E1EFE">
      <w:pPr>
        <w:pStyle w:val="Balk3"/>
      </w:pPr>
      <w:bookmarkStart w:id="40" w:name="_Toc12956304"/>
      <w:r w:rsidRPr="008D3F61">
        <w:t>2.2.4.Board Decisions</w:t>
      </w:r>
      <w:bookmarkEnd w:id="40"/>
    </w:p>
    <w:p w:rsidR="00FE7FEB" w:rsidRPr="008D3F61" w:rsidRDefault="004E1EFE" w:rsidP="00FE7FEB">
      <w:pPr>
        <w:spacing w:line="240" w:lineRule="auto"/>
        <w:jc w:val="both"/>
        <w:rPr>
          <w:rFonts w:ascii="Calibri" w:hAnsi="Calibri"/>
        </w:rPr>
      </w:pPr>
      <w:r w:rsidRPr="008D3F61">
        <w:rPr>
          <w:rFonts w:ascii="Calibri" w:hAnsi="Calibri"/>
        </w:rPr>
        <w:t xml:space="preserve">In 2018, the following Board Decisions </w:t>
      </w:r>
      <w:r w:rsidR="008D3F61" w:rsidRPr="008D3F61">
        <w:rPr>
          <w:rFonts w:ascii="Calibri" w:hAnsi="Calibri"/>
        </w:rPr>
        <w:t xml:space="preserve">were taken </w:t>
      </w:r>
      <w:r w:rsidRPr="008D3F61">
        <w:rPr>
          <w:rFonts w:ascii="Calibri" w:hAnsi="Calibri"/>
        </w:rPr>
        <w:t>in the natural gas market:</w:t>
      </w:r>
    </w:p>
    <w:p w:rsidR="005F5E6A" w:rsidRPr="008D3F61" w:rsidRDefault="005F5E6A" w:rsidP="005F5E6A">
      <w:pPr>
        <w:spacing w:after="0"/>
        <w:jc w:val="both"/>
        <w:rPr>
          <w:color w:val="000000" w:themeColor="text1"/>
        </w:rPr>
      </w:pPr>
      <w:r w:rsidRPr="008D3F61">
        <w:rPr>
          <w:color w:val="000000" w:themeColor="text1"/>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4703"/>
        <w:gridCol w:w="4703"/>
      </w:tblGrid>
      <w:tr w:rsidR="005F5E6A" w:rsidRPr="008D3F61" w:rsidTr="005F0CC7">
        <w:tc>
          <w:tcPr>
            <w:tcW w:w="0" w:type="auto"/>
            <w:shd w:val="clear" w:color="auto" w:fill="auto"/>
            <w:tcMar>
              <w:top w:w="0" w:type="dxa"/>
              <w:left w:w="0" w:type="dxa"/>
              <w:bottom w:w="0" w:type="dxa"/>
              <w:right w:w="0" w:type="dxa"/>
            </w:tcMar>
            <w:vAlign w:val="center"/>
            <w:hideMark/>
          </w:tcPr>
          <w:p w:rsidR="005F5E6A" w:rsidRPr="008D3F61" w:rsidRDefault="005F5E6A" w:rsidP="005F0CC7">
            <w:pPr>
              <w:spacing w:after="300" w:line="240" w:lineRule="auto"/>
              <w:rPr>
                <w:color w:val="000000" w:themeColor="text1"/>
              </w:rPr>
            </w:pPr>
          </w:p>
        </w:tc>
        <w:tc>
          <w:tcPr>
            <w:tcW w:w="0" w:type="auto"/>
            <w:shd w:val="clear" w:color="auto" w:fill="auto"/>
            <w:tcMar>
              <w:top w:w="0" w:type="dxa"/>
              <w:left w:w="0" w:type="dxa"/>
              <w:bottom w:w="0" w:type="dxa"/>
              <w:right w:w="0" w:type="dxa"/>
            </w:tcMar>
            <w:vAlign w:val="center"/>
            <w:hideMark/>
          </w:tcPr>
          <w:p w:rsidR="005F5E6A" w:rsidRPr="008D3F61" w:rsidRDefault="005F5E6A" w:rsidP="005F0CC7">
            <w:pPr>
              <w:spacing w:after="300" w:line="240" w:lineRule="auto"/>
              <w:rPr>
                <w:color w:val="000000" w:themeColor="text1"/>
              </w:rPr>
            </w:pPr>
          </w:p>
        </w:tc>
      </w:tr>
    </w:tbl>
    <w:p w:rsidR="005F5E6A" w:rsidRPr="008D3F61" w:rsidRDefault="005F5E6A" w:rsidP="005F5E6A">
      <w:pPr>
        <w:tabs>
          <w:tab w:val="left" w:pos="284"/>
          <w:tab w:val="left" w:pos="709"/>
          <w:tab w:val="left" w:pos="851"/>
        </w:tabs>
        <w:spacing w:after="0"/>
        <w:jc w:val="both"/>
      </w:pPr>
    </w:p>
    <w:p w:rsidR="005F5E6A" w:rsidRPr="00C50925" w:rsidRDefault="008D3F61" w:rsidP="008D3F61">
      <w:pPr>
        <w:pStyle w:val="ListeParagraf"/>
        <w:numPr>
          <w:ilvl w:val="0"/>
          <w:numId w:val="43"/>
        </w:numPr>
        <w:spacing w:after="200" w:line="276" w:lineRule="auto"/>
        <w:jc w:val="both"/>
        <w:rPr>
          <w:rStyle w:val="Gl"/>
          <w:rFonts w:ascii="Calibri" w:hAnsi="Calibri"/>
          <w:b w:val="0"/>
          <w:bCs w:val="0"/>
        </w:rPr>
      </w:pPr>
      <w:r w:rsidRPr="008D3F61">
        <w:t xml:space="preserve"> </w:t>
      </w:r>
      <w:r w:rsidRPr="00C50925">
        <w:t>With the Board Decision dated 18.01.2018 and numbered 7649-1 published in the Official Gazette dated 23.01.2018 and numbered 30310, the natural gas consumption forecast for 2018 was calculated as 54.523.999.692 Sm3 (58.135.356.720 kWh) on the basis of the upper thermal value of 9155 kcal / m3.  The national natural gas consumption estimation and national natural gas consumption realizations made by the Authority by years are shown in Table 2.3.</w:t>
      </w:r>
    </w:p>
    <w:p w:rsidR="004E1EFE" w:rsidRPr="00C50925" w:rsidRDefault="004E1EFE" w:rsidP="00FE7FEB">
      <w:pPr>
        <w:spacing w:line="240" w:lineRule="auto"/>
        <w:jc w:val="both"/>
        <w:rPr>
          <w:rFonts w:ascii="Calibri" w:hAnsi="Calibri"/>
        </w:rPr>
      </w:pPr>
    </w:p>
    <w:p w:rsidR="00FE7FEB" w:rsidRPr="00C50925" w:rsidRDefault="003B5E3C" w:rsidP="0055522A">
      <w:pPr>
        <w:pStyle w:val="Balk5"/>
      </w:pPr>
      <w:bookmarkStart w:id="41" w:name="_Toc512874126"/>
      <w:bookmarkStart w:id="42" w:name="_Toc12958469"/>
      <w:r w:rsidRPr="00C50925">
        <w:rPr>
          <w:rStyle w:val="Gl"/>
          <w:b/>
          <w:bCs w:val="0"/>
        </w:rPr>
        <w:t>Table 2.3: Natural Gas Consumption Estimates and Realizations by years (2005-2018)</w:t>
      </w:r>
      <w:bookmarkEnd w:id="41"/>
      <w:bookmarkEnd w:id="42"/>
    </w:p>
    <w:tbl>
      <w:tblPr>
        <w:tblW w:w="578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960"/>
        <w:gridCol w:w="1720"/>
        <w:gridCol w:w="1740"/>
        <w:gridCol w:w="1362"/>
      </w:tblGrid>
      <w:tr w:rsidR="003B5E3C" w:rsidRPr="00C50925" w:rsidTr="008531CD">
        <w:trPr>
          <w:trHeight w:val="340"/>
          <w:jc w:val="center"/>
        </w:trPr>
        <w:tc>
          <w:tcPr>
            <w:tcW w:w="960" w:type="dxa"/>
            <w:shd w:val="clear" w:color="auto" w:fill="6E9ECA"/>
            <w:noWrap/>
            <w:vAlign w:val="center"/>
            <w:hideMark/>
          </w:tcPr>
          <w:p w:rsidR="003B5E3C" w:rsidRPr="00C50925" w:rsidRDefault="003B5E3C" w:rsidP="008531CD">
            <w:pPr>
              <w:spacing w:after="0" w:line="240" w:lineRule="auto"/>
              <w:jc w:val="center"/>
              <w:rPr>
                <w:rFonts w:eastAsia="Times New Roman"/>
                <w:b/>
                <w:bCs/>
                <w:color w:val="FFFFFF" w:themeColor="background1"/>
                <w:lang w:eastAsia="tr-TR"/>
              </w:rPr>
            </w:pPr>
            <w:r w:rsidRPr="00C50925">
              <w:rPr>
                <w:rFonts w:eastAsia="Times New Roman"/>
                <w:b/>
                <w:bCs/>
                <w:color w:val="FFFFFF" w:themeColor="background1"/>
                <w:lang w:eastAsia="tr-TR"/>
              </w:rPr>
              <w:t>Years</w:t>
            </w:r>
          </w:p>
        </w:tc>
        <w:tc>
          <w:tcPr>
            <w:tcW w:w="1720" w:type="dxa"/>
            <w:shd w:val="clear" w:color="auto" w:fill="6E9ECA"/>
            <w:noWrap/>
            <w:vAlign w:val="center"/>
            <w:hideMark/>
          </w:tcPr>
          <w:p w:rsidR="003B5E3C" w:rsidRPr="00C50925" w:rsidRDefault="003B5E3C" w:rsidP="003B5E3C">
            <w:pPr>
              <w:spacing w:after="0" w:line="240" w:lineRule="auto"/>
              <w:jc w:val="center"/>
              <w:rPr>
                <w:rFonts w:eastAsia="Times New Roman"/>
                <w:b/>
                <w:bCs/>
                <w:color w:val="FFFFFF" w:themeColor="background1"/>
                <w:lang w:eastAsia="tr-TR"/>
              </w:rPr>
            </w:pPr>
            <w:r w:rsidRPr="00C50925">
              <w:rPr>
                <w:rFonts w:eastAsia="Times New Roman"/>
                <w:b/>
                <w:bCs/>
                <w:color w:val="FFFFFF" w:themeColor="background1"/>
                <w:lang w:eastAsia="tr-TR"/>
              </w:rPr>
              <w:t>Estimate</w:t>
            </w:r>
          </w:p>
          <w:p w:rsidR="003B5E3C" w:rsidRPr="00C50925" w:rsidRDefault="003B5E3C" w:rsidP="003B5E3C">
            <w:pPr>
              <w:spacing w:after="0" w:line="240" w:lineRule="auto"/>
              <w:jc w:val="center"/>
              <w:rPr>
                <w:rFonts w:eastAsia="Times New Roman"/>
                <w:b/>
                <w:bCs/>
                <w:color w:val="FFFFFF" w:themeColor="background1"/>
                <w:lang w:eastAsia="tr-TR"/>
              </w:rPr>
            </w:pPr>
            <w:r w:rsidRPr="00C50925">
              <w:rPr>
                <w:rFonts w:eastAsia="Times New Roman"/>
                <w:b/>
                <w:bCs/>
                <w:color w:val="FFFFFF" w:themeColor="background1"/>
                <w:lang w:eastAsia="tr-TR"/>
              </w:rPr>
              <w:t>(Sm</w:t>
            </w:r>
            <w:r w:rsidRPr="00C50925">
              <w:rPr>
                <w:rFonts w:eastAsia="Times New Roman"/>
                <w:b/>
                <w:bCs/>
                <w:color w:val="FFFFFF" w:themeColor="background1"/>
                <w:vertAlign w:val="superscript"/>
                <w:lang w:eastAsia="tr-TR"/>
              </w:rPr>
              <w:t>3</w:t>
            </w:r>
            <w:r w:rsidRPr="00C50925">
              <w:rPr>
                <w:rFonts w:eastAsia="Times New Roman"/>
                <w:b/>
                <w:bCs/>
                <w:color w:val="FFFFFF" w:themeColor="background1"/>
                <w:lang w:eastAsia="tr-TR"/>
              </w:rPr>
              <w:t>)</w:t>
            </w:r>
          </w:p>
        </w:tc>
        <w:tc>
          <w:tcPr>
            <w:tcW w:w="1740" w:type="dxa"/>
            <w:shd w:val="clear" w:color="auto" w:fill="6E9ECA"/>
            <w:noWrap/>
            <w:vAlign w:val="center"/>
            <w:hideMark/>
          </w:tcPr>
          <w:p w:rsidR="003B5E3C" w:rsidRPr="00C50925" w:rsidRDefault="003B5E3C" w:rsidP="003B5E3C">
            <w:pPr>
              <w:spacing w:after="0" w:line="240" w:lineRule="auto"/>
              <w:jc w:val="center"/>
              <w:rPr>
                <w:rFonts w:eastAsia="Times New Roman"/>
                <w:b/>
                <w:bCs/>
                <w:color w:val="FFFFFF" w:themeColor="background1"/>
                <w:lang w:eastAsia="tr-TR"/>
              </w:rPr>
            </w:pPr>
            <w:r w:rsidRPr="00C50925">
              <w:rPr>
                <w:rFonts w:eastAsia="Times New Roman"/>
                <w:b/>
                <w:bCs/>
                <w:color w:val="FFFFFF" w:themeColor="background1"/>
                <w:lang w:eastAsia="tr-TR"/>
              </w:rPr>
              <w:t>Realization</w:t>
            </w:r>
          </w:p>
          <w:p w:rsidR="003B5E3C" w:rsidRPr="00C50925" w:rsidRDefault="003B5E3C" w:rsidP="003B5E3C">
            <w:pPr>
              <w:spacing w:after="0" w:line="240" w:lineRule="auto"/>
              <w:jc w:val="center"/>
              <w:rPr>
                <w:rFonts w:eastAsia="Times New Roman"/>
                <w:b/>
                <w:bCs/>
                <w:color w:val="FFFFFF" w:themeColor="background1"/>
                <w:lang w:eastAsia="tr-TR"/>
              </w:rPr>
            </w:pPr>
            <w:r w:rsidRPr="00C50925">
              <w:rPr>
                <w:rFonts w:eastAsia="Times New Roman"/>
                <w:b/>
                <w:bCs/>
                <w:color w:val="FFFFFF" w:themeColor="background1"/>
                <w:lang w:eastAsia="tr-TR"/>
              </w:rPr>
              <w:t>(Sm</w:t>
            </w:r>
            <w:r w:rsidRPr="00C50925">
              <w:rPr>
                <w:rFonts w:eastAsia="Times New Roman"/>
                <w:b/>
                <w:bCs/>
                <w:color w:val="FFFFFF" w:themeColor="background1"/>
                <w:vertAlign w:val="superscript"/>
                <w:lang w:eastAsia="tr-TR"/>
              </w:rPr>
              <w:t>3</w:t>
            </w:r>
            <w:r w:rsidRPr="00C50925">
              <w:rPr>
                <w:rFonts w:eastAsia="Times New Roman"/>
                <w:b/>
                <w:bCs/>
                <w:color w:val="FFFFFF" w:themeColor="background1"/>
                <w:lang w:eastAsia="tr-TR"/>
              </w:rPr>
              <w:t>)</w:t>
            </w:r>
          </w:p>
        </w:tc>
        <w:tc>
          <w:tcPr>
            <w:tcW w:w="1362" w:type="dxa"/>
            <w:shd w:val="clear" w:color="auto" w:fill="6E9ECA"/>
            <w:noWrap/>
            <w:vAlign w:val="center"/>
            <w:hideMark/>
          </w:tcPr>
          <w:p w:rsidR="003B5E3C" w:rsidRPr="00C50925" w:rsidRDefault="003B5E3C" w:rsidP="008531CD">
            <w:pPr>
              <w:spacing w:after="0" w:line="240" w:lineRule="auto"/>
              <w:jc w:val="center"/>
              <w:rPr>
                <w:rFonts w:eastAsia="Times New Roman"/>
                <w:b/>
                <w:bCs/>
                <w:color w:val="FFFFFF" w:themeColor="background1"/>
                <w:lang w:eastAsia="tr-TR"/>
              </w:rPr>
            </w:pPr>
            <w:r w:rsidRPr="00C50925">
              <w:rPr>
                <w:rFonts w:eastAsia="Times New Roman"/>
                <w:b/>
                <w:bCs/>
                <w:color w:val="FFFFFF" w:themeColor="background1"/>
                <w:lang w:eastAsia="tr-TR"/>
              </w:rPr>
              <w:t>Estimate and Realization Derivation (%)</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2005</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25.800.000.000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27.348.213.942</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rFonts w:eastAsia="Times New Roman"/>
                <w:color w:val="000000" w:themeColor="text1"/>
                <w:lang w:eastAsia="tr-TR"/>
              </w:rPr>
              <w:t>6,00</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2006</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30.100.000.000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30.982.063.980</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rFonts w:eastAsia="Times New Roman"/>
                <w:color w:val="000000" w:themeColor="text1"/>
                <w:lang w:eastAsia="tr-TR"/>
              </w:rPr>
              <w:t>2,93</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2007</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36.200.000.000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35.394.878.230</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rFonts w:eastAsia="Times New Roman"/>
                <w:color w:val="000000" w:themeColor="text1"/>
                <w:lang w:eastAsia="tr-TR"/>
              </w:rPr>
              <w:t>-2,22</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2008</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37.500.000.000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36.865.051.313</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rFonts w:eastAsia="Times New Roman"/>
                <w:color w:val="000000" w:themeColor="text1"/>
                <w:lang w:eastAsia="tr-TR"/>
              </w:rPr>
              <w:t>-1,69</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2009</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35.000.000.000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35.218.839.390</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rFonts w:eastAsia="Times New Roman"/>
                <w:color w:val="000000" w:themeColor="text1"/>
                <w:lang w:eastAsia="tr-TR"/>
              </w:rPr>
              <w:t>0,63</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2010</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37.000.000.000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37.411.118.370</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rFonts w:eastAsia="Times New Roman"/>
                <w:color w:val="000000" w:themeColor="text1"/>
                <w:lang w:eastAsia="tr-TR"/>
              </w:rPr>
              <w:t>1,11</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2011</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39.000.000.000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43.697.409.192</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rFonts w:eastAsia="Times New Roman"/>
                <w:color w:val="000000" w:themeColor="text1"/>
                <w:lang w:eastAsia="tr-TR"/>
              </w:rPr>
              <w:t>12,04</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2012</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48.500.000.000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45.241.762.899</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rFonts w:eastAsia="Times New Roman"/>
                <w:color w:val="000000" w:themeColor="text1"/>
                <w:lang w:eastAsia="tr-TR"/>
              </w:rPr>
              <w:t>-6,72</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2013</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47.600.000.000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color w:val="000000"/>
              </w:rPr>
              <w:t>45.582.044.872</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color w:val="000000"/>
              </w:rPr>
              <w:t>-4,24</w:t>
            </w:r>
          </w:p>
        </w:tc>
      </w:tr>
      <w:tr w:rsidR="003B5E3C" w:rsidRPr="00C50925" w:rsidTr="008531CD">
        <w:trPr>
          <w:trHeight w:val="340"/>
          <w:jc w:val="center"/>
        </w:trPr>
        <w:tc>
          <w:tcPr>
            <w:tcW w:w="960" w:type="dxa"/>
            <w:shd w:val="clear" w:color="auto" w:fill="auto"/>
            <w:noWrap/>
            <w:vAlign w:val="center"/>
            <w:hideMark/>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2014</w:t>
            </w:r>
          </w:p>
        </w:tc>
        <w:tc>
          <w:tcPr>
            <w:tcW w:w="172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rFonts w:eastAsia="Times New Roman"/>
                <w:color w:val="000000" w:themeColor="text1"/>
                <w:lang w:eastAsia="tr-TR"/>
              </w:rPr>
              <w:t>46.500.000.000</w:t>
            </w:r>
          </w:p>
        </w:tc>
        <w:tc>
          <w:tcPr>
            <w:tcW w:w="1740" w:type="dxa"/>
            <w:shd w:val="clear" w:color="auto" w:fill="auto"/>
            <w:noWrap/>
            <w:vAlign w:val="center"/>
            <w:hideMark/>
          </w:tcPr>
          <w:p w:rsidR="003B5E3C" w:rsidRPr="00C50925" w:rsidRDefault="003B5E3C" w:rsidP="008531CD">
            <w:pPr>
              <w:spacing w:after="0" w:line="240" w:lineRule="auto"/>
              <w:jc w:val="right"/>
              <w:rPr>
                <w:rFonts w:eastAsia="Times New Roman"/>
                <w:color w:val="000000" w:themeColor="text1"/>
                <w:lang w:eastAsia="tr-TR"/>
              </w:rPr>
            </w:pPr>
            <w:r w:rsidRPr="00C50925">
              <w:rPr>
                <w:color w:val="000000"/>
                <w:lang w:eastAsia="tr-TR"/>
              </w:rPr>
              <w:t>48.717.179.257</w:t>
            </w:r>
          </w:p>
        </w:tc>
        <w:tc>
          <w:tcPr>
            <w:tcW w:w="1362" w:type="dxa"/>
            <w:shd w:val="clear" w:color="auto" w:fill="auto"/>
            <w:noWrap/>
            <w:vAlign w:val="center"/>
            <w:hideMark/>
          </w:tcPr>
          <w:p w:rsidR="003B5E3C" w:rsidRPr="00C50925" w:rsidRDefault="003B5E3C" w:rsidP="008531CD">
            <w:pPr>
              <w:spacing w:after="0" w:line="240" w:lineRule="auto"/>
              <w:jc w:val="center"/>
              <w:rPr>
                <w:rFonts w:eastAsia="Times New Roman"/>
                <w:color w:val="000000" w:themeColor="text1"/>
                <w:lang w:eastAsia="tr-TR"/>
              </w:rPr>
            </w:pPr>
            <w:r w:rsidRPr="00C50925">
              <w:rPr>
                <w:color w:val="000000"/>
              </w:rPr>
              <w:t>4,77</w:t>
            </w:r>
          </w:p>
        </w:tc>
      </w:tr>
      <w:tr w:rsidR="003B5E3C" w:rsidRPr="00C50925" w:rsidTr="008531CD">
        <w:trPr>
          <w:trHeight w:val="340"/>
          <w:jc w:val="center"/>
        </w:trPr>
        <w:tc>
          <w:tcPr>
            <w:tcW w:w="960" w:type="dxa"/>
            <w:shd w:val="clear" w:color="auto" w:fill="auto"/>
            <w:noWrap/>
            <w:vAlign w:val="center"/>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2015</w:t>
            </w:r>
          </w:p>
        </w:tc>
        <w:tc>
          <w:tcPr>
            <w:tcW w:w="1720" w:type="dxa"/>
            <w:shd w:val="clear" w:color="auto" w:fill="auto"/>
            <w:noWrap/>
            <w:vAlign w:val="center"/>
          </w:tcPr>
          <w:p w:rsidR="003B5E3C" w:rsidRPr="00C50925" w:rsidRDefault="003B5E3C" w:rsidP="008531CD">
            <w:pPr>
              <w:spacing w:after="0" w:line="240" w:lineRule="auto"/>
              <w:jc w:val="right"/>
              <w:rPr>
                <w:rFonts w:eastAsia="Times New Roman"/>
                <w:color w:val="000000" w:themeColor="text1"/>
                <w:lang w:eastAsia="tr-TR"/>
              </w:rPr>
            </w:pPr>
            <w:r w:rsidRPr="00C50925">
              <w:rPr>
                <w:color w:val="000000" w:themeColor="text1"/>
              </w:rPr>
              <w:t>50.862.943.531</w:t>
            </w:r>
          </w:p>
        </w:tc>
        <w:tc>
          <w:tcPr>
            <w:tcW w:w="1740" w:type="dxa"/>
            <w:shd w:val="clear" w:color="auto" w:fill="auto"/>
            <w:noWrap/>
            <w:vAlign w:val="center"/>
          </w:tcPr>
          <w:p w:rsidR="003B5E3C" w:rsidRPr="00C50925" w:rsidRDefault="003B5E3C" w:rsidP="008531CD">
            <w:pPr>
              <w:spacing w:after="0" w:line="240" w:lineRule="auto"/>
              <w:jc w:val="right"/>
              <w:rPr>
                <w:color w:val="000000"/>
                <w:lang w:eastAsia="tr-TR"/>
              </w:rPr>
            </w:pPr>
            <w:r w:rsidRPr="00C50925">
              <w:rPr>
                <w:color w:val="000000"/>
                <w:lang w:eastAsia="tr-TR"/>
              </w:rPr>
              <w:t>47.999.276.834</w:t>
            </w:r>
          </w:p>
        </w:tc>
        <w:tc>
          <w:tcPr>
            <w:tcW w:w="1362" w:type="dxa"/>
            <w:shd w:val="clear" w:color="auto" w:fill="auto"/>
            <w:noWrap/>
            <w:vAlign w:val="center"/>
          </w:tcPr>
          <w:p w:rsidR="003B5E3C" w:rsidRPr="00C50925" w:rsidRDefault="003B5E3C" w:rsidP="008531CD">
            <w:pPr>
              <w:spacing w:after="0" w:line="240" w:lineRule="auto"/>
              <w:jc w:val="center"/>
              <w:rPr>
                <w:color w:val="000000"/>
              </w:rPr>
            </w:pPr>
            <w:r w:rsidRPr="00C50925">
              <w:rPr>
                <w:color w:val="000000"/>
              </w:rPr>
              <w:t>-5,63</w:t>
            </w:r>
          </w:p>
        </w:tc>
      </w:tr>
      <w:tr w:rsidR="003B5E3C" w:rsidRPr="00C50925" w:rsidTr="008531CD">
        <w:trPr>
          <w:trHeight w:val="340"/>
          <w:jc w:val="center"/>
        </w:trPr>
        <w:tc>
          <w:tcPr>
            <w:tcW w:w="960" w:type="dxa"/>
            <w:shd w:val="clear" w:color="auto" w:fill="auto"/>
            <w:noWrap/>
            <w:vAlign w:val="center"/>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2016</w:t>
            </w:r>
          </w:p>
        </w:tc>
        <w:tc>
          <w:tcPr>
            <w:tcW w:w="1720" w:type="dxa"/>
            <w:shd w:val="clear" w:color="auto" w:fill="auto"/>
            <w:noWrap/>
            <w:vAlign w:val="center"/>
          </w:tcPr>
          <w:p w:rsidR="003B5E3C" w:rsidRPr="00C50925" w:rsidRDefault="003B5E3C" w:rsidP="008531CD">
            <w:pPr>
              <w:spacing w:after="0" w:line="240" w:lineRule="auto"/>
              <w:jc w:val="right"/>
              <w:rPr>
                <w:color w:val="000000" w:themeColor="text1"/>
              </w:rPr>
            </w:pPr>
            <w:r w:rsidRPr="00C50925">
              <w:rPr>
                <w:color w:val="000000" w:themeColor="text1"/>
              </w:rPr>
              <w:t>49.562.579.420</w:t>
            </w:r>
          </w:p>
        </w:tc>
        <w:tc>
          <w:tcPr>
            <w:tcW w:w="1740" w:type="dxa"/>
            <w:shd w:val="clear" w:color="auto" w:fill="auto"/>
            <w:noWrap/>
            <w:vAlign w:val="center"/>
          </w:tcPr>
          <w:p w:rsidR="003B5E3C" w:rsidRPr="00C50925" w:rsidRDefault="003B5E3C" w:rsidP="008531CD">
            <w:pPr>
              <w:spacing w:after="0" w:line="240" w:lineRule="auto"/>
              <w:jc w:val="right"/>
              <w:rPr>
                <w:color w:val="000000"/>
                <w:lang w:eastAsia="tr-TR"/>
              </w:rPr>
            </w:pPr>
            <w:r w:rsidRPr="00C50925">
              <w:rPr>
                <w:color w:val="000000"/>
                <w:lang w:eastAsia="tr-TR"/>
              </w:rPr>
              <w:t>46.480.780.189</w:t>
            </w:r>
          </w:p>
        </w:tc>
        <w:tc>
          <w:tcPr>
            <w:tcW w:w="1362" w:type="dxa"/>
            <w:shd w:val="clear" w:color="auto" w:fill="auto"/>
            <w:noWrap/>
            <w:vAlign w:val="center"/>
          </w:tcPr>
          <w:p w:rsidR="003B5E3C" w:rsidRPr="00C50925" w:rsidRDefault="003B5E3C" w:rsidP="008531CD">
            <w:pPr>
              <w:spacing w:after="0" w:line="240" w:lineRule="auto"/>
              <w:jc w:val="center"/>
              <w:rPr>
                <w:color w:val="000000"/>
              </w:rPr>
            </w:pPr>
            <w:r w:rsidRPr="00C50925">
              <w:rPr>
                <w:color w:val="000000"/>
              </w:rPr>
              <w:t>-6,22</w:t>
            </w:r>
          </w:p>
        </w:tc>
      </w:tr>
      <w:tr w:rsidR="003B5E3C" w:rsidRPr="00C50925" w:rsidTr="008531CD">
        <w:trPr>
          <w:trHeight w:val="340"/>
          <w:jc w:val="center"/>
        </w:trPr>
        <w:tc>
          <w:tcPr>
            <w:tcW w:w="960" w:type="dxa"/>
            <w:shd w:val="clear" w:color="auto" w:fill="auto"/>
            <w:noWrap/>
            <w:vAlign w:val="center"/>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2017</w:t>
            </w:r>
          </w:p>
        </w:tc>
        <w:tc>
          <w:tcPr>
            <w:tcW w:w="1720" w:type="dxa"/>
            <w:shd w:val="clear" w:color="auto" w:fill="auto"/>
            <w:noWrap/>
            <w:vAlign w:val="center"/>
          </w:tcPr>
          <w:p w:rsidR="003B5E3C" w:rsidRPr="00C50925" w:rsidRDefault="003B5E3C" w:rsidP="008531CD">
            <w:pPr>
              <w:spacing w:after="0" w:line="240" w:lineRule="auto"/>
              <w:jc w:val="right"/>
              <w:rPr>
                <w:color w:val="000000" w:themeColor="text1"/>
              </w:rPr>
            </w:pPr>
            <w:r w:rsidRPr="00C50925">
              <w:t>46.029.977.218</w:t>
            </w:r>
          </w:p>
        </w:tc>
        <w:tc>
          <w:tcPr>
            <w:tcW w:w="1740" w:type="dxa"/>
            <w:shd w:val="clear" w:color="auto" w:fill="auto"/>
            <w:noWrap/>
            <w:vAlign w:val="center"/>
          </w:tcPr>
          <w:p w:rsidR="003B5E3C" w:rsidRPr="00C50925" w:rsidRDefault="003B5E3C" w:rsidP="008531CD">
            <w:pPr>
              <w:spacing w:after="0" w:line="240" w:lineRule="auto"/>
              <w:jc w:val="right"/>
              <w:rPr>
                <w:color w:val="000000"/>
                <w:lang w:eastAsia="tr-TR"/>
              </w:rPr>
            </w:pPr>
            <w:r w:rsidRPr="00C50925">
              <w:rPr>
                <w:color w:val="000000"/>
                <w:lang w:eastAsia="tr-TR"/>
              </w:rPr>
              <w:t>53.857.136.920</w:t>
            </w:r>
          </w:p>
        </w:tc>
        <w:tc>
          <w:tcPr>
            <w:tcW w:w="1362" w:type="dxa"/>
            <w:shd w:val="clear" w:color="auto" w:fill="auto"/>
            <w:noWrap/>
            <w:vAlign w:val="center"/>
          </w:tcPr>
          <w:p w:rsidR="003B5E3C" w:rsidRPr="00C50925" w:rsidRDefault="003B5E3C" w:rsidP="008531CD">
            <w:pPr>
              <w:spacing w:after="0" w:line="240" w:lineRule="auto"/>
              <w:jc w:val="center"/>
              <w:rPr>
                <w:color w:val="000000"/>
              </w:rPr>
            </w:pPr>
            <w:r w:rsidRPr="00C50925">
              <w:rPr>
                <w:color w:val="000000"/>
              </w:rPr>
              <w:t>17,00</w:t>
            </w:r>
          </w:p>
        </w:tc>
      </w:tr>
      <w:tr w:rsidR="003B5E3C" w:rsidRPr="00C50925" w:rsidTr="008531CD">
        <w:trPr>
          <w:trHeight w:val="340"/>
          <w:jc w:val="center"/>
        </w:trPr>
        <w:tc>
          <w:tcPr>
            <w:tcW w:w="960" w:type="dxa"/>
            <w:shd w:val="clear" w:color="auto" w:fill="auto"/>
            <w:noWrap/>
            <w:vAlign w:val="center"/>
          </w:tcPr>
          <w:p w:rsidR="003B5E3C" w:rsidRPr="00C50925" w:rsidRDefault="003B5E3C" w:rsidP="008531CD">
            <w:pPr>
              <w:spacing w:after="0" w:line="240" w:lineRule="auto"/>
              <w:jc w:val="center"/>
              <w:rPr>
                <w:rFonts w:eastAsia="Times New Roman"/>
                <w:b/>
                <w:color w:val="000000" w:themeColor="text1"/>
                <w:lang w:eastAsia="tr-TR"/>
              </w:rPr>
            </w:pPr>
            <w:r w:rsidRPr="00C50925">
              <w:rPr>
                <w:rFonts w:eastAsia="Times New Roman"/>
                <w:b/>
                <w:color w:val="000000" w:themeColor="text1"/>
                <w:lang w:eastAsia="tr-TR"/>
              </w:rPr>
              <w:t>2018</w:t>
            </w:r>
          </w:p>
        </w:tc>
        <w:tc>
          <w:tcPr>
            <w:tcW w:w="1720" w:type="dxa"/>
            <w:shd w:val="clear" w:color="auto" w:fill="auto"/>
            <w:noWrap/>
            <w:vAlign w:val="center"/>
          </w:tcPr>
          <w:p w:rsidR="003B5E3C" w:rsidRPr="00C50925" w:rsidRDefault="003B5E3C" w:rsidP="008531CD">
            <w:pPr>
              <w:spacing w:after="0" w:line="240" w:lineRule="auto"/>
              <w:jc w:val="right"/>
            </w:pPr>
            <w:r w:rsidRPr="00C50925">
              <w:t>54.523.999.692</w:t>
            </w:r>
          </w:p>
        </w:tc>
        <w:tc>
          <w:tcPr>
            <w:tcW w:w="1740" w:type="dxa"/>
            <w:shd w:val="clear" w:color="auto" w:fill="auto"/>
            <w:noWrap/>
            <w:vAlign w:val="center"/>
          </w:tcPr>
          <w:p w:rsidR="003B5E3C" w:rsidRPr="00C50925" w:rsidRDefault="003B5E3C" w:rsidP="008531CD">
            <w:pPr>
              <w:spacing w:after="0" w:line="240" w:lineRule="auto"/>
              <w:jc w:val="right"/>
              <w:rPr>
                <w:color w:val="000000"/>
                <w:lang w:eastAsia="tr-TR"/>
              </w:rPr>
            </w:pPr>
            <w:r w:rsidRPr="00C50925">
              <w:rPr>
                <w:lang w:eastAsia="tr-TR"/>
              </w:rPr>
              <w:t>49.328.933.112</w:t>
            </w:r>
          </w:p>
        </w:tc>
        <w:tc>
          <w:tcPr>
            <w:tcW w:w="1362" w:type="dxa"/>
            <w:shd w:val="clear" w:color="auto" w:fill="auto"/>
            <w:noWrap/>
            <w:vAlign w:val="center"/>
          </w:tcPr>
          <w:p w:rsidR="003B5E3C" w:rsidRPr="00C50925" w:rsidRDefault="003B5E3C" w:rsidP="008531CD">
            <w:pPr>
              <w:spacing w:after="0" w:line="240" w:lineRule="auto"/>
              <w:jc w:val="center"/>
              <w:rPr>
                <w:color w:val="000000"/>
              </w:rPr>
            </w:pPr>
            <w:r w:rsidRPr="00C50925">
              <w:rPr>
                <w:color w:val="000000"/>
              </w:rPr>
              <w:t>-9,52</w:t>
            </w:r>
          </w:p>
        </w:tc>
      </w:tr>
    </w:tbl>
    <w:p w:rsidR="00FE7FEB" w:rsidRPr="00C50925" w:rsidRDefault="00FE7FEB" w:rsidP="00FE7FEB">
      <w:pPr>
        <w:spacing w:line="240" w:lineRule="auto"/>
        <w:jc w:val="both"/>
        <w:rPr>
          <w:rFonts w:ascii="Calibri" w:hAnsi="Calibri"/>
        </w:rPr>
      </w:pPr>
    </w:p>
    <w:p w:rsidR="00FE7FEB" w:rsidRPr="00C50925" w:rsidRDefault="00FE7FEB" w:rsidP="00FE7FEB">
      <w:pPr>
        <w:spacing w:line="240" w:lineRule="auto"/>
        <w:jc w:val="both"/>
        <w:rPr>
          <w:rFonts w:ascii="Calibri" w:hAnsi="Calibri"/>
        </w:rPr>
      </w:pPr>
    </w:p>
    <w:p w:rsidR="005F5E6A" w:rsidRPr="00C50925" w:rsidRDefault="00BF5916" w:rsidP="00BF5916">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With  the Board Decision dated 03.03.2018 and numbered 7727 published in the Official Gazette dated 17.03.2018 and numbered 30363, amendments were made in the Network Code within the framework of the Article 5 of the Regulation on the Operation of the Natural Gas Market Transmission Network is based on the provisional 3 rd and BOTAŞ Transmission Network Operation Arrangements.</w:t>
      </w:r>
    </w:p>
    <w:p w:rsidR="005F5E6A" w:rsidRPr="00C50925" w:rsidRDefault="00BF5916" w:rsidP="00BF5916">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 xml:space="preserve">With the Board Decision dated 03.03.2018 and numbered 7736, published in the Official Gazette dated 17.03.2018 and numbered 30363, amendmentw were made to the Article 5 of the Regulation on the Operation of Natural Gas Market Transmission Network is based on the provisions of Section 21 of the Principles on BOTAŞ Transmission Network Operation Regulations. </w:t>
      </w:r>
    </w:p>
    <w:p w:rsidR="005F5E6A" w:rsidRPr="00C50925" w:rsidRDefault="00BF5916" w:rsidP="00BF5916">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 xml:space="preserve">With the Board Decision dated 17.05.2018 and numbered 7845 published in the Official Gazette dated 18.05.2018 and numbered 30425, amendments were made in Network Code within the framework of Article 5 of the Regulation on the Operation of Natural Gas Market Transmission Network and the amendment to the provisions of Section 21 of the Principles Regarding BOTAŞ Transmission Network Operation Regulations </w:t>
      </w:r>
    </w:p>
    <w:p w:rsidR="005F5E6A" w:rsidRPr="00C50925" w:rsidRDefault="00BF5916" w:rsidP="00BF5916">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With the Board Decision dated 12.07.2018 and numbered 7954 published in the Official Gazette dated 17.07.2018 and numbered 30481 amendments were made to the Organized Wholesale Natural Gas Sales Market Operating Procedures and Principles (PUE) in accordance with the provisions of Article 19 of the Organized Wholesale Market Regulation and Article 12 of the PUE.  The amendments are effective as of the date of publication.</w:t>
      </w:r>
    </w:p>
    <w:p w:rsidR="005F5E6A" w:rsidRPr="00C50925" w:rsidRDefault="00BF5916" w:rsidP="00BF5916">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With the Board Decision dated 26.07.2018 and numbered 7978 published in the Official Gazette dated 29.07.2018 and numbered 30493, Article 5 of the Regulation on the Operation of the Natural Gas Market Transmission Network, Provisional Article 3 of the Organized Wholesale Natural Gas Sales Market Regulation and BOTAŞ Transmission Network Operation Regulations Pursuant to the provisions of Section 21 of the Principles, the Board Decision dated 21.12.2017 and numbered 7539 was amended and the Board Decision dated 08.03.2018 and numbered 7727 was amended. Of these amendments, other amendments are effective as of 01.09.2018, the date on which the Organized Wholesale Market enters into force.</w:t>
      </w:r>
      <w:r w:rsidR="005F5E6A" w:rsidRPr="00C50925">
        <w:rPr>
          <w:color w:val="000000" w:themeColor="text1"/>
        </w:rPr>
        <w:t xml:space="preserve"> </w:t>
      </w:r>
    </w:p>
    <w:p w:rsidR="005F5E6A" w:rsidRPr="00C50925" w:rsidRDefault="00BF5916" w:rsidP="00BF5916">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In the Appendix-2 of the Board Decision numbered 7661-3 and dated 25.01.2018 and published in the Official Gazette dated 31.01.2018 and numbered 8018 with the Board Decision no. Amendment has been made in the Communiqué on the Costs and Commissions to be Applied for the Meeting of the Operating Income Ceiling of the Organized Wholesale Natural Gas Sales Market. The amendments are effective as of the date of publication.</w:t>
      </w:r>
    </w:p>
    <w:p w:rsidR="005F5E6A" w:rsidRPr="00C50925" w:rsidRDefault="00BF5916" w:rsidP="00BF5916">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The Board Decision dated 16.08.2018 and numbered 8019 published in the Official Gazette dated 18.08.2018 and numbered 30513 and in the Annex-2 of the Board Decision numbered 7661-3 dated 25.01.2018 published in the Official Gazette dated 31.01.2018 and numbered 30318 “ Organized Wholesale Natural Gas Sales Market Operation Income Ceiling to be applied to meet the price and commissions and the method of implementation of the decision stated in the ”. The decision is effective as of 01.09.2018 and is effective as of the date of its publication. The unit charges, including VAT, which will be effective in 2018 in the Organized Wholesale Natural Gas Sales Market, are as follows.</w:t>
      </w:r>
    </w:p>
    <w:p w:rsidR="005F5E6A" w:rsidRPr="00C50925" w:rsidRDefault="005F5E6A" w:rsidP="005F5E6A">
      <w:pPr>
        <w:pStyle w:val="ListeParagraf"/>
        <w:tabs>
          <w:tab w:val="left" w:pos="284"/>
          <w:tab w:val="left" w:pos="709"/>
          <w:tab w:val="left" w:pos="851"/>
        </w:tabs>
        <w:spacing w:after="0" w:line="269" w:lineRule="auto"/>
        <w:jc w:val="both"/>
        <w:rPr>
          <w:color w:val="000000" w:themeColor="text1"/>
        </w:rPr>
      </w:pPr>
    </w:p>
    <w:tbl>
      <w:tblPr>
        <w:tblStyle w:val="TabloKlavuzu"/>
        <w:tblW w:w="0" w:type="auto"/>
        <w:tblInd w:w="2518" w:type="dxa"/>
        <w:tblLook w:val="04A0" w:firstRow="1" w:lastRow="0" w:firstColumn="1" w:lastColumn="0" w:noHBand="0" w:noVBand="1"/>
      </w:tblPr>
      <w:tblGrid>
        <w:gridCol w:w="4111"/>
        <w:gridCol w:w="1559"/>
      </w:tblGrid>
      <w:tr w:rsidR="005F5E6A" w:rsidRPr="00C50925" w:rsidTr="005F0CC7">
        <w:tc>
          <w:tcPr>
            <w:tcW w:w="4111" w:type="dxa"/>
          </w:tcPr>
          <w:p w:rsidR="005F5E6A" w:rsidRPr="00C50925" w:rsidRDefault="00BF5916" w:rsidP="005F0CC7">
            <w:pPr>
              <w:pStyle w:val="ListeParagraf"/>
              <w:tabs>
                <w:tab w:val="left" w:pos="284"/>
                <w:tab w:val="left" w:pos="709"/>
                <w:tab w:val="left" w:pos="851"/>
              </w:tabs>
              <w:spacing w:line="269" w:lineRule="auto"/>
              <w:ind w:left="0"/>
              <w:jc w:val="center"/>
              <w:rPr>
                <w:b/>
                <w:color w:val="000000" w:themeColor="text1"/>
              </w:rPr>
            </w:pPr>
            <w:r w:rsidRPr="00C50925">
              <w:rPr>
                <w:b/>
                <w:color w:val="000000" w:themeColor="text1"/>
              </w:rPr>
              <w:t>Cost</w:t>
            </w:r>
          </w:p>
        </w:tc>
        <w:tc>
          <w:tcPr>
            <w:tcW w:w="1559" w:type="dxa"/>
          </w:tcPr>
          <w:p w:rsidR="005F5E6A" w:rsidRPr="00C50925" w:rsidRDefault="00BF5916" w:rsidP="005F0CC7">
            <w:pPr>
              <w:pStyle w:val="ListeParagraf"/>
              <w:tabs>
                <w:tab w:val="left" w:pos="284"/>
                <w:tab w:val="left" w:pos="709"/>
                <w:tab w:val="left" w:pos="851"/>
              </w:tabs>
              <w:spacing w:line="269" w:lineRule="auto"/>
              <w:ind w:left="0"/>
              <w:jc w:val="center"/>
              <w:rPr>
                <w:b/>
                <w:color w:val="000000" w:themeColor="text1"/>
              </w:rPr>
            </w:pPr>
            <w:r w:rsidRPr="00C50925">
              <w:rPr>
                <w:b/>
                <w:color w:val="000000" w:themeColor="text1"/>
              </w:rPr>
              <w:t>Unit Price</w:t>
            </w:r>
          </w:p>
        </w:tc>
      </w:tr>
      <w:tr w:rsidR="005F5E6A" w:rsidRPr="00C50925" w:rsidTr="005F0CC7">
        <w:tc>
          <w:tcPr>
            <w:tcW w:w="4111" w:type="dxa"/>
          </w:tcPr>
          <w:p w:rsidR="005F5E6A" w:rsidRPr="00C50925" w:rsidRDefault="00BF5916" w:rsidP="005F0CC7">
            <w:pPr>
              <w:pStyle w:val="ListeParagraf"/>
              <w:tabs>
                <w:tab w:val="left" w:pos="284"/>
                <w:tab w:val="left" w:pos="709"/>
                <w:tab w:val="left" w:pos="851"/>
              </w:tabs>
              <w:spacing w:line="269" w:lineRule="auto"/>
              <w:ind w:left="0"/>
              <w:jc w:val="both"/>
              <w:rPr>
                <w:color w:val="000000" w:themeColor="text1"/>
              </w:rPr>
            </w:pPr>
            <w:r w:rsidRPr="00C50925">
              <w:rPr>
                <w:color w:val="000000" w:themeColor="text1"/>
              </w:rPr>
              <w:t>Unit Operation Cost</w:t>
            </w:r>
          </w:p>
        </w:tc>
        <w:tc>
          <w:tcPr>
            <w:tcW w:w="1559" w:type="dxa"/>
          </w:tcPr>
          <w:p w:rsidR="005F5E6A" w:rsidRPr="00C50925" w:rsidRDefault="005F5E6A" w:rsidP="005F0CC7">
            <w:pPr>
              <w:pStyle w:val="ListeParagraf"/>
              <w:tabs>
                <w:tab w:val="left" w:pos="284"/>
                <w:tab w:val="left" w:pos="709"/>
                <w:tab w:val="left" w:pos="851"/>
              </w:tabs>
              <w:spacing w:line="269" w:lineRule="auto"/>
              <w:ind w:left="0"/>
              <w:jc w:val="center"/>
              <w:rPr>
                <w:color w:val="000000" w:themeColor="text1"/>
              </w:rPr>
            </w:pPr>
            <w:r w:rsidRPr="00C50925">
              <w:rPr>
                <w:color w:val="000000" w:themeColor="text1"/>
              </w:rPr>
              <w:t>0,0008 TL/Sm</w:t>
            </w:r>
            <w:r w:rsidRPr="00C50925">
              <w:rPr>
                <w:color w:val="000000" w:themeColor="text1"/>
                <w:vertAlign w:val="superscript"/>
              </w:rPr>
              <w:t>3</w:t>
            </w:r>
          </w:p>
        </w:tc>
      </w:tr>
      <w:tr w:rsidR="005F5E6A" w:rsidRPr="00C50925" w:rsidTr="005F0CC7">
        <w:tc>
          <w:tcPr>
            <w:tcW w:w="4111" w:type="dxa"/>
          </w:tcPr>
          <w:p w:rsidR="005F5E6A" w:rsidRPr="00C50925" w:rsidRDefault="00BF5916" w:rsidP="00BF5916">
            <w:pPr>
              <w:pStyle w:val="ListeParagraf"/>
              <w:tabs>
                <w:tab w:val="left" w:pos="284"/>
                <w:tab w:val="left" w:pos="709"/>
                <w:tab w:val="left" w:pos="851"/>
              </w:tabs>
              <w:spacing w:line="269" w:lineRule="auto"/>
              <w:ind w:left="0"/>
              <w:jc w:val="both"/>
              <w:rPr>
                <w:color w:val="000000" w:themeColor="text1"/>
              </w:rPr>
            </w:pPr>
            <w:r w:rsidRPr="00C50925">
              <w:rPr>
                <w:color w:val="000000" w:themeColor="text1"/>
              </w:rPr>
              <w:t>Unit Imbalance Settlement Operation Cost</w:t>
            </w:r>
          </w:p>
        </w:tc>
        <w:tc>
          <w:tcPr>
            <w:tcW w:w="1559" w:type="dxa"/>
          </w:tcPr>
          <w:p w:rsidR="005F5E6A" w:rsidRPr="00C50925" w:rsidRDefault="005F5E6A" w:rsidP="005F0CC7">
            <w:pPr>
              <w:pStyle w:val="ListeParagraf"/>
              <w:tabs>
                <w:tab w:val="left" w:pos="284"/>
                <w:tab w:val="left" w:pos="709"/>
                <w:tab w:val="left" w:pos="851"/>
              </w:tabs>
              <w:spacing w:line="269" w:lineRule="auto"/>
              <w:ind w:left="0"/>
              <w:jc w:val="center"/>
              <w:rPr>
                <w:color w:val="000000" w:themeColor="text1"/>
              </w:rPr>
            </w:pPr>
            <w:r w:rsidRPr="00C50925">
              <w:rPr>
                <w:color w:val="000000" w:themeColor="text1"/>
              </w:rPr>
              <w:t>0,0008 TL/Sm</w:t>
            </w:r>
            <w:r w:rsidRPr="00C50925">
              <w:rPr>
                <w:color w:val="000000" w:themeColor="text1"/>
                <w:vertAlign w:val="superscript"/>
              </w:rPr>
              <w:t>3</w:t>
            </w:r>
          </w:p>
        </w:tc>
      </w:tr>
      <w:tr w:rsidR="005F5E6A" w:rsidRPr="00C50925" w:rsidTr="005F0CC7">
        <w:tc>
          <w:tcPr>
            <w:tcW w:w="4111" w:type="dxa"/>
          </w:tcPr>
          <w:p w:rsidR="005F5E6A" w:rsidRPr="00C50925" w:rsidRDefault="00C50925" w:rsidP="00C50925">
            <w:pPr>
              <w:pStyle w:val="ListeParagraf"/>
              <w:tabs>
                <w:tab w:val="left" w:pos="284"/>
                <w:tab w:val="left" w:pos="709"/>
                <w:tab w:val="left" w:pos="851"/>
              </w:tabs>
              <w:spacing w:line="269" w:lineRule="auto"/>
              <w:ind w:left="0"/>
              <w:jc w:val="both"/>
              <w:rPr>
                <w:color w:val="000000" w:themeColor="text1"/>
              </w:rPr>
            </w:pPr>
            <w:r w:rsidRPr="00C50925">
              <w:rPr>
                <w:color w:val="000000" w:themeColor="text1"/>
              </w:rPr>
              <w:t>Cost of Rejected Objection</w:t>
            </w:r>
          </w:p>
        </w:tc>
        <w:tc>
          <w:tcPr>
            <w:tcW w:w="1559" w:type="dxa"/>
          </w:tcPr>
          <w:p w:rsidR="005F5E6A" w:rsidRPr="00C50925" w:rsidRDefault="00C50925" w:rsidP="005F0CC7">
            <w:pPr>
              <w:pStyle w:val="ListeParagraf"/>
              <w:tabs>
                <w:tab w:val="left" w:pos="284"/>
                <w:tab w:val="left" w:pos="709"/>
                <w:tab w:val="left" w:pos="851"/>
              </w:tabs>
              <w:spacing w:line="269" w:lineRule="auto"/>
              <w:ind w:left="0"/>
              <w:jc w:val="center"/>
              <w:rPr>
                <w:color w:val="000000" w:themeColor="text1"/>
              </w:rPr>
            </w:pPr>
            <w:r w:rsidRPr="00C50925">
              <w:rPr>
                <w:color w:val="000000" w:themeColor="text1"/>
              </w:rPr>
              <w:t>200 TL</w:t>
            </w:r>
          </w:p>
        </w:tc>
      </w:tr>
    </w:tbl>
    <w:p w:rsidR="005F5E6A" w:rsidRPr="00C50925" w:rsidRDefault="00C50925" w:rsidP="00C50925">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With the Board Decision dated 29.08.2018 and numbered 8030-2 published in the Official Gazette dated 05.09.2018 and numbered 30526, Article 15 of the Regulation on Organized Wholesale Natural Gas Sales Market titled teklif Bidding in STP and price formation ecek will be given in P STP oluşum. Article 16 and Article 18 titled “Exceptions ile and Article 6.2” Calculation of the daily reference price ın of the Organized Wholesale Natural Gas Sales Market Operating Market (PUE). types ”and Article 11.1“ Exceptions başlayarak, starting from the date of gas on 01.09.2018 and up to the Board's decision on this subject;</w:t>
      </w:r>
      <w:r w:rsidR="005F5E6A" w:rsidRPr="00C50925">
        <w:rPr>
          <w:color w:val="000000" w:themeColor="text1"/>
        </w:rPr>
        <w:t xml:space="preserve"> </w:t>
      </w:r>
    </w:p>
    <w:p w:rsidR="00C50925" w:rsidRPr="00C50925" w:rsidRDefault="00C50925" w:rsidP="00C50925">
      <w:pPr>
        <w:pStyle w:val="ListeParagraf"/>
        <w:numPr>
          <w:ilvl w:val="0"/>
          <w:numId w:val="44"/>
        </w:numPr>
        <w:tabs>
          <w:tab w:val="left" w:pos="284"/>
          <w:tab w:val="left" w:pos="709"/>
          <w:tab w:val="left" w:pos="851"/>
        </w:tabs>
        <w:spacing w:after="0" w:line="269" w:lineRule="auto"/>
        <w:jc w:val="both"/>
      </w:pPr>
      <w:r w:rsidRPr="00C50925">
        <w:rPr>
          <w:color w:val="000000" w:themeColor="text1"/>
        </w:rPr>
        <w:t>The minimum price of the bids to be submitted in the Continuous Trading Platform shall be determined as 0TL / 1000 Sm3 and the maximum price of 2000TL / 1000 Sm3,</w:t>
      </w:r>
    </w:p>
    <w:p w:rsidR="00C50925" w:rsidRPr="00C50925" w:rsidRDefault="00C50925" w:rsidP="00C50925">
      <w:pPr>
        <w:pStyle w:val="ListeParagraf"/>
        <w:numPr>
          <w:ilvl w:val="0"/>
          <w:numId w:val="44"/>
        </w:numPr>
        <w:tabs>
          <w:tab w:val="left" w:pos="284"/>
          <w:tab w:val="left" w:pos="709"/>
          <w:tab w:val="left" w:pos="851"/>
        </w:tabs>
        <w:spacing w:after="0" w:line="269" w:lineRule="auto"/>
        <w:jc w:val="both"/>
      </w:pPr>
      <w:r w:rsidRPr="00C50925">
        <w:rPr>
          <w:color w:val="000000" w:themeColor="text1"/>
        </w:rPr>
        <w:t>The minimum price of the pairings to be realized in the sales direction transactions to be realized in the STP as the Additional Balancer excluding the point / regional transactions of the transmission company shall be determined as 1000TL / 1000 Sm3, and the minimum price of the pairings to be realized in the bidirectional transactions shall be determined as 1800TL / 1000 Sm3,</w:t>
      </w:r>
    </w:p>
    <w:p w:rsidR="00C50925" w:rsidRPr="00C50925" w:rsidRDefault="00C50925" w:rsidP="00C50925">
      <w:pPr>
        <w:pStyle w:val="ListeParagraf"/>
        <w:numPr>
          <w:ilvl w:val="0"/>
          <w:numId w:val="44"/>
        </w:numPr>
        <w:tabs>
          <w:tab w:val="left" w:pos="284"/>
          <w:tab w:val="left" w:pos="709"/>
          <w:tab w:val="left" w:pos="851"/>
        </w:tabs>
        <w:spacing w:after="0" w:line="269" w:lineRule="auto"/>
        <w:jc w:val="both"/>
      </w:pPr>
      <w:r w:rsidRPr="00C50925">
        <w:rPr>
          <w:color w:val="000000" w:themeColor="text1"/>
        </w:rPr>
        <w:t xml:space="preserve"> In the event that the Daily Reference Price (GRF) does not occur on the 01.09.2018 gas day for any reason, the date of the said gas day and the GRF following the said gas day shall be valid only for the seven days in which the maximum GRF is not formed. Acceptance of the Balancing Gas Price determined in accordance with the BOTAŞ Transmission Network Operation Regulations for the Gas Day as GRF and producing all the results expected from the GRF,</w:t>
      </w:r>
    </w:p>
    <w:p w:rsidR="00C50925" w:rsidRPr="00C50925" w:rsidRDefault="00C50925" w:rsidP="00C50925">
      <w:pPr>
        <w:pStyle w:val="ListeParagraf"/>
        <w:numPr>
          <w:ilvl w:val="0"/>
          <w:numId w:val="44"/>
        </w:numPr>
        <w:tabs>
          <w:tab w:val="left" w:pos="284"/>
          <w:tab w:val="left" w:pos="709"/>
          <w:tab w:val="left" w:pos="851"/>
        </w:tabs>
        <w:spacing w:after="0" w:line="269" w:lineRule="auto"/>
        <w:jc w:val="both"/>
      </w:pPr>
      <w:r w:rsidRPr="00C50925">
        <w:rPr>
          <w:color w:val="000000" w:themeColor="text1"/>
        </w:rPr>
        <w:t xml:space="preserve"> In the event that price formation is not possible in the STP as a result of the occurrence of the extraordinary conditions foreseen in the PUE, it is decided that the last GRF used in the settlement calculations of the Gas Day before the Gas Day in which the exception occurred would be considered as the extraordinary case GRF.</w:t>
      </w:r>
    </w:p>
    <w:p w:rsidR="00C50925" w:rsidRPr="00C50925" w:rsidRDefault="00C50925" w:rsidP="00C50925">
      <w:pPr>
        <w:pStyle w:val="ListeParagraf"/>
        <w:tabs>
          <w:tab w:val="left" w:pos="284"/>
          <w:tab w:val="left" w:pos="709"/>
          <w:tab w:val="left" w:pos="851"/>
        </w:tabs>
        <w:spacing w:after="0" w:line="269" w:lineRule="auto"/>
        <w:ind w:left="2136"/>
        <w:jc w:val="both"/>
      </w:pPr>
    </w:p>
    <w:p w:rsidR="005F5E6A" w:rsidRPr="00C50925" w:rsidRDefault="00C50925" w:rsidP="00C50925">
      <w:pPr>
        <w:pStyle w:val="ListeParagraf"/>
        <w:numPr>
          <w:ilvl w:val="0"/>
          <w:numId w:val="43"/>
        </w:numPr>
        <w:tabs>
          <w:tab w:val="left" w:pos="284"/>
          <w:tab w:val="left" w:pos="709"/>
          <w:tab w:val="left" w:pos="851"/>
        </w:tabs>
        <w:spacing w:after="0" w:line="269" w:lineRule="auto"/>
        <w:jc w:val="both"/>
      </w:pPr>
      <w:r w:rsidRPr="00C50925">
        <w:rPr>
          <w:color w:val="000000" w:themeColor="text1"/>
        </w:rPr>
        <w:t>The Board Decision  dated 29.09.2018 and numbered 8033 published in the Official Gazette dated 06.09.2018 and numbered 30527 amended the Board Decision dated 13.09.2017 and numbered 7280. This amendment is related to the operating expense component in the second tariff application period tariff calculations of natural gas distribution companies in accordance with the Tariff Calculation Procedures and Principles (Methodology) for Natural Gas Distribution Companies.</w:t>
      </w:r>
    </w:p>
    <w:p w:rsidR="005F5E6A" w:rsidRPr="00C50925" w:rsidRDefault="00C50925" w:rsidP="00C50925">
      <w:pPr>
        <w:pStyle w:val="ListeParagraf"/>
        <w:numPr>
          <w:ilvl w:val="0"/>
          <w:numId w:val="43"/>
        </w:numPr>
        <w:spacing w:after="0" w:line="276" w:lineRule="auto"/>
        <w:jc w:val="both"/>
        <w:rPr>
          <w:color w:val="000000" w:themeColor="text1"/>
        </w:rPr>
      </w:pPr>
      <w:r w:rsidRPr="00C50925">
        <w:rPr>
          <w:color w:val="000000" w:themeColor="text1"/>
        </w:rPr>
        <w:t>With the Board Decision dated 13.09.2018 and numbered 8057-4, a resolution regarding the Turkish Lira Adjustment Method to be applied by Başkentgaz on Prepaid Meters was taken.</w:t>
      </w:r>
    </w:p>
    <w:p w:rsidR="005F5E6A" w:rsidRPr="00C50925" w:rsidRDefault="005F5E6A" w:rsidP="00C50925">
      <w:pPr>
        <w:pStyle w:val="ListeParagraf"/>
        <w:numPr>
          <w:ilvl w:val="0"/>
          <w:numId w:val="43"/>
        </w:numPr>
        <w:tabs>
          <w:tab w:val="left" w:pos="284"/>
          <w:tab w:val="left" w:pos="567"/>
          <w:tab w:val="left" w:pos="709"/>
          <w:tab w:val="left" w:pos="851"/>
        </w:tabs>
        <w:spacing w:after="0" w:line="269" w:lineRule="auto"/>
        <w:jc w:val="both"/>
        <w:rPr>
          <w:color w:val="000000" w:themeColor="text1"/>
        </w:rPr>
      </w:pPr>
      <w:r w:rsidRPr="00C50925">
        <w:rPr>
          <w:color w:val="000000" w:themeColor="text1"/>
        </w:rPr>
        <w:t xml:space="preserve">    </w:t>
      </w:r>
      <w:r w:rsidR="00C50925" w:rsidRPr="00C50925">
        <w:rPr>
          <w:color w:val="000000" w:themeColor="text1"/>
        </w:rPr>
        <w:t>According to the Board Decision dated 13.09.2018 and numbered 8058 published in the Official Gazette dated 18.09.2018 and numbered 30539, “Natural Gas Gaz which was prepared on the basis of paragraph 7 (g) of the fourth paragraph of article 4 of the Natural Gas Market Law no. Procedures and Principles Regarding Distribution Activities in Organized Industrial Zones Tarafından have been adopted by the Distribution Companies. These procedures and principles are in effect as of the date of publication.</w:t>
      </w:r>
    </w:p>
    <w:p w:rsidR="005F5E6A" w:rsidRPr="00C50925" w:rsidRDefault="005F5E6A" w:rsidP="00C50925">
      <w:pPr>
        <w:pStyle w:val="ListeParagraf"/>
        <w:numPr>
          <w:ilvl w:val="0"/>
          <w:numId w:val="43"/>
        </w:numPr>
        <w:tabs>
          <w:tab w:val="left" w:pos="284"/>
          <w:tab w:val="left" w:pos="709"/>
          <w:tab w:val="left" w:pos="851"/>
        </w:tabs>
        <w:spacing w:after="0" w:line="269" w:lineRule="auto"/>
        <w:jc w:val="both"/>
        <w:rPr>
          <w:color w:val="000000" w:themeColor="text1"/>
        </w:rPr>
      </w:pPr>
      <w:r w:rsidRPr="00C50925">
        <w:rPr>
          <w:color w:val="000000" w:themeColor="text1"/>
        </w:rPr>
        <w:t xml:space="preserve"> </w:t>
      </w:r>
      <w:r w:rsidR="00C50925" w:rsidRPr="00C50925">
        <w:rPr>
          <w:color w:val="000000" w:themeColor="text1"/>
        </w:rPr>
        <w:t>Amendment to the Board Decision dated 09.02.2006 and numbered 652 on the procedures and principles to be followed by the certificate holder and distribution companies regarding the approval and commissioning of natural gas internal installations by the Board Decision dated 13.12.2018 and numbered 8237 published in the Official Gazette dated 15.12.2018 and numbered 30626 it is made. The amendments are in effect as of the date of publication.</w:t>
      </w:r>
    </w:p>
    <w:p w:rsidR="005F5E6A" w:rsidRDefault="00C50925" w:rsidP="00C50925">
      <w:pPr>
        <w:pStyle w:val="ListeParagraf"/>
        <w:numPr>
          <w:ilvl w:val="0"/>
          <w:numId w:val="43"/>
        </w:numPr>
        <w:tabs>
          <w:tab w:val="left" w:pos="284"/>
          <w:tab w:val="left" w:pos="709"/>
          <w:tab w:val="left" w:pos="851"/>
        </w:tabs>
        <w:spacing w:after="0" w:line="276" w:lineRule="auto"/>
        <w:jc w:val="both"/>
        <w:rPr>
          <w:color w:val="000000" w:themeColor="text1"/>
        </w:rPr>
      </w:pPr>
      <w:r w:rsidRPr="00C50925">
        <w:t>With the Board Decision dated 20.12.2018 and numbered 8265 published in the Official Gazette dated 23.12.2018 and numbered 30634, it was decided to continue to apply the same resolution in 2019 as of 18.12.2014 on the limit of being a free consumer. . The changes in the free consumer limit in the natural gas market by years are given in Table 2.4.</w:t>
      </w:r>
      <w:r>
        <w:rPr>
          <w:color w:val="000000" w:themeColor="text1"/>
        </w:rPr>
        <w:t xml:space="preserve"> </w:t>
      </w:r>
    </w:p>
    <w:p w:rsidR="00FE7FEB" w:rsidRDefault="00FE7FEB" w:rsidP="00FE7FEB">
      <w:pPr>
        <w:spacing w:line="240" w:lineRule="auto"/>
        <w:jc w:val="both"/>
        <w:rPr>
          <w:rFonts w:ascii="Calibri" w:hAnsi="Calibri"/>
        </w:rPr>
      </w:pPr>
    </w:p>
    <w:p w:rsidR="00C522EA" w:rsidRPr="0055522A" w:rsidRDefault="003B5E3C" w:rsidP="0055522A">
      <w:pPr>
        <w:pStyle w:val="Balk5"/>
        <w:rPr>
          <w:rStyle w:val="Gl"/>
          <w:b/>
          <w:bCs w:val="0"/>
        </w:rPr>
      </w:pPr>
      <w:bookmarkStart w:id="43" w:name="_Toc416447572"/>
      <w:bookmarkStart w:id="44" w:name="_Toc442441728"/>
      <w:bookmarkStart w:id="45" w:name="_Toc512874127"/>
      <w:bookmarkStart w:id="46" w:name="_Toc6684337"/>
      <w:bookmarkStart w:id="47" w:name="_Toc12958470"/>
      <w:r w:rsidRPr="0055522A">
        <w:rPr>
          <w:rStyle w:val="Gl"/>
          <w:b/>
          <w:bCs w:val="0"/>
        </w:rPr>
        <w:t xml:space="preserve">Table 2.4: The evolution of eligible consumer limit in natural gas market by years </w:t>
      </w:r>
      <w:r w:rsidR="00C522EA" w:rsidRPr="0055522A">
        <w:rPr>
          <w:rStyle w:val="Gl"/>
          <w:b/>
          <w:bCs w:val="0"/>
        </w:rPr>
        <w:t>(2005-2019)</w:t>
      </w:r>
      <w:bookmarkEnd w:id="43"/>
      <w:bookmarkEnd w:id="44"/>
      <w:bookmarkEnd w:id="45"/>
      <w:bookmarkEnd w:id="46"/>
      <w:bookmarkEnd w:id="47"/>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14"/>
        <w:gridCol w:w="2026"/>
        <w:gridCol w:w="3270"/>
        <w:gridCol w:w="2936"/>
      </w:tblGrid>
      <w:tr w:rsidR="00C522EA" w:rsidRPr="00E9291A" w:rsidTr="008531CD">
        <w:trPr>
          <w:trHeight w:val="300"/>
          <w:tblHeader/>
        </w:trPr>
        <w:tc>
          <w:tcPr>
            <w:tcW w:w="688" w:type="pct"/>
            <w:vMerge w:val="restart"/>
            <w:shd w:val="clear" w:color="auto" w:fill="6E9ECA"/>
            <w:vAlign w:val="center"/>
            <w:hideMark/>
          </w:tcPr>
          <w:p w:rsidR="00C522EA" w:rsidRPr="00CF408B" w:rsidRDefault="003B5E3C" w:rsidP="008531CD">
            <w:pPr>
              <w:spacing w:after="0" w:line="240" w:lineRule="auto"/>
              <w:jc w:val="center"/>
              <w:rPr>
                <w:rFonts w:eastAsia="Times New Roman"/>
                <w:b/>
                <w:bCs/>
                <w:color w:val="FFFFFF" w:themeColor="background1"/>
                <w:lang w:eastAsia="tr-TR"/>
              </w:rPr>
            </w:pPr>
            <w:r w:rsidRPr="00AB35EE">
              <w:rPr>
                <w:rFonts w:eastAsia="Times New Roman"/>
                <w:b/>
                <w:bCs/>
                <w:color w:val="FFFFFF" w:themeColor="background1"/>
                <w:lang w:eastAsia="tr-TR"/>
              </w:rPr>
              <w:t>Year</w:t>
            </w:r>
          </w:p>
        </w:tc>
        <w:tc>
          <w:tcPr>
            <w:tcW w:w="1061" w:type="pct"/>
            <w:vMerge w:val="restart"/>
            <w:shd w:val="clear" w:color="auto" w:fill="6E9ECA"/>
            <w:vAlign w:val="center"/>
            <w:hideMark/>
          </w:tcPr>
          <w:p w:rsidR="00C522EA" w:rsidRPr="00CF408B" w:rsidRDefault="003B5E3C" w:rsidP="008531CD">
            <w:pPr>
              <w:spacing w:after="0" w:line="240" w:lineRule="auto"/>
              <w:jc w:val="center"/>
              <w:rPr>
                <w:rFonts w:eastAsia="Times New Roman"/>
                <w:b/>
                <w:bCs/>
                <w:color w:val="FFFFFF" w:themeColor="background1"/>
                <w:lang w:eastAsia="tr-TR"/>
              </w:rPr>
            </w:pPr>
            <w:r w:rsidRPr="00AB35EE">
              <w:rPr>
                <w:rFonts w:eastAsia="Times New Roman"/>
                <w:b/>
                <w:bCs/>
                <w:color w:val="FFFFFF" w:themeColor="background1"/>
                <w:lang w:eastAsia="tr-TR"/>
              </w:rPr>
              <w:t>No of Board Decisions</w:t>
            </w:r>
          </w:p>
        </w:tc>
        <w:tc>
          <w:tcPr>
            <w:tcW w:w="3252" w:type="pct"/>
            <w:gridSpan w:val="2"/>
            <w:shd w:val="clear" w:color="auto" w:fill="6E9ECA"/>
            <w:vAlign w:val="bottom"/>
            <w:hideMark/>
          </w:tcPr>
          <w:p w:rsidR="00C522EA" w:rsidRPr="00CF408B" w:rsidRDefault="003B5E3C" w:rsidP="008531CD">
            <w:pPr>
              <w:spacing w:after="0" w:line="240" w:lineRule="auto"/>
              <w:jc w:val="center"/>
              <w:rPr>
                <w:rFonts w:eastAsia="Times New Roman"/>
                <w:b/>
                <w:bCs/>
                <w:color w:val="FFFFFF" w:themeColor="background1"/>
                <w:lang w:eastAsia="tr-TR"/>
              </w:rPr>
            </w:pPr>
            <w:r w:rsidRPr="00AB35EE">
              <w:rPr>
                <w:rFonts w:eastAsia="Times New Roman"/>
                <w:b/>
                <w:bCs/>
                <w:color w:val="FFFFFF" w:themeColor="background1"/>
                <w:lang w:eastAsia="tr-TR"/>
              </w:rPr>
              <w:t>Eligible Consumer Limit(m</w:t>
            </w:r>
            <w:r w:rsidRPr="00AB35EE">
              <w:rPr>
                <w:rFonts w:eastAsia="Times New Roman"/>
                <w:b/>
                <w:bCs/>
                <w:color w:val="FFFFFF" w:themeColor="background1"/>
                <w:vertAlign w:val="superscript"/>
                <w:lang w:eastAsia="tr-TR"/>
              </w:rPr>
              <w:t>3</w:t>
            </w:r>
            <w:r w:rsidRPr="00AB35EE">
              <w:rPr>
                <w:rFonts w:eastAsia="Times New Roman"/>
                <w:b/>
                <w:bCs/>
                <w:color w:val="FFFFFF" w:themeColor="background1"/>
                <w:lang w:eastAsia="tr-TR"/>
              </w:rPr>
              <w:t>)</w:t>
            </w:r>
          </w:p>
        </w:tc>
      </w:tr>
      <w:tr w:rsidR="00C522EA" w:rsidRPr="00E9291A" w:rsidTr="008531CD">
        <w:trPr>
          <w:trHeight w:val="900"/>
          <w:tblHeader/>
        </w:trPr>
        <w:tc>
          <w:tcPr>
            <w:tcW w:w="688" w:type="pct"/>
            <w:vMerge/>
            <w:shd w:val="clear" w:color="auto" w:fill="6E9ECA"/>
            <w:vAlign w:val="center"/>
            <w:hideMark/>
          </w:tcPr>
          <w:p w:rsidR="00C522EA" w:rsidRPr="00CF408B" w:rsidRDefault="00C522EA" w:rsidP="008531CD">
            <w:pPr>
              <w:spacing w:after="0" w:line="240" w:lineRule="auto"/>
              <w:jc w:val="center"/>
              <w:rPr>
                <w:rFonts w:eastAsia="Times New Roman"/>
                <w:b/>
                <w:bCs/>
                <w:color w:val="FFFFFF" w:themeColor="background1"/>
                <w:lang w:eastAsia="tr-TR"/>
              </w:rPr>
            </w:pPr>
          </w:p>
        </w:tc>
        <w:tc>
          <w:tcPr>
            <w:tcW w:w="1061" w:type="pct"/>
            <w:vMerge/>
            <w:shd w:val="clear" w:color="auto" w:fill="6E9ECA"/>
            <w:vAlign w:val="center"/>
            <w:hideMark/>
          </w:tcPr>
          <w:p w:rsidR="00C522EA" w:rsidRPr="00CF408B" w:rsidRDefault="00C522EA" w:rsidP="008531CD">
            <w:pPr>
              <w:spacing w:after="0" w:line="240" w:lineRule="auto"/>
              <w:jc w:val="center"/>
              <w:rPr>
                <w:rFonts w:eastAsia="Times New Roman"/>
                <w:b/>
                <w:bCs/>
                <w:color w:val="FFFFFF" w:themeColor="background1"/>
                <w:lang w:eastAsia="tr-TR"/>
              </w:rPr>
            </w:pPr>
          </w:p>
        </w:tc>
        <w:tc>
          <w:tcPr>
            <w:tcW w:w="1713" w:type="pct"/>
            <w:shd w:val="clear" w:color="auto" w:fill="6E9ECA"/>
            <w:vAlign w:val="center"/>
            <w:hideMark/>
          </w:tcPr>
          <w:p w:rsidR="00C522EA" w:rsidRPr="00CF408B" w:rsidRDefault="003B5E3C" w:rsidP="008531CD">
            <w:pPr>
              <w:spacing w:after="0" w:line="240" w:lineRule="auto"/>
              <w:jc w:val="center"/>
              <w:rPr>
                <w:rFonts w:eastAsia="Times New Roman"/>
                <w:b/>
                <w:bCs/>
                <w:color w:val="FFFFFF" w:themeColor="background1"/>
                <w:lang w:eastAsia="tr-TR"/>
              </w:rPr>
            </w:pPr>
            <w:r w:rsidRPr="00AB35EE">
              <w:rPr>
                <w:rFonts w:eastAsia="Times New Roman"/>
                <w:b/>
                <w:bCs/>
                <w:color w:val="FFFFFF" w:themeColor="background1"/>
                <w:lang w:eastAsia="tr-TR"/>
              </w:rPr>
              <w:t>Current companies and successful tenderers completing 5 years as of the date of effectiveness of the</w:t>
            </w:r>
          </w:p>
        </w:tc>
        <w:tc>
          <w:tcPr>
            <w:tcW w:w="1538" w:type="pct"/>
            <w:shd w:val="clear" w:color="auto" w:fill="6E9ECA"/>
            <w:vAlign w:val="center"/>
            <w:hideMark/>
          </w:tcPr>
          <w:p w:rsidR="00C522EA" w:rsidRPr="00CF408B" w:rsidRDefault="003B5E3C" w:rsidP="008531CD">
            <w:pPr>
              <w:spacing w:after="0" w:line="240" w:lineRule="auto"/>
              <w:jc w:val="center"/>
              <w:rPr>
                <w:rFonts w:eastAsia="Times New Roman"/>
                <w:b/>
                <w:bCs/>
                <w:color w:val="FFFFFF" w:themeColor="background1"/>
                <w:lang w:eastAsia="tr-TR"/>
              </w:rPr>
            </w:pPr>
            <w:r w:rsidRPr="00AB35EE">
              <w:rPr>
                <w:rFonts w:eastAsia="Times New Roman"/>
                <w:b/>
                <w:bCs/>
                <w:color w:val="FFFFFF" w:themeColor="background1"/>
                <w:lang w:eastAsia="tr-TR"/>
              </w:rPr>
              <w:t>Other companies granted licenses upon tenders</w:t>
            </w:r>
          </w:p>
        </w:tc>
      </w:tr>
      <w:tr w:rsidR="00C522EA" w:rsidRPr="00E9291A" w:rsidTr="008531CD">
        <w:trPr>
          <w:trHeight w:val="315"/>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2005</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408</w:t>
            </w:r>
          </w:p>
        </w:tc>
        <w:tc>
          <w:tcPr>
            <w:tcW w:w="1713"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C522EA" w:rsidRPr="00E9291A" w:rsidTr="008531CD">
        <w:trPr>
          <w:trHeight w:val="315"/>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2006</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629</w:t>
            </w:r>
          </w:p>
        </w:tc>
        <w:tc>
          <w:tcPr>
            <w:tcW w:w="1713"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C522EA" w:rsidRPr="00E9291A" w:rsidTr="008531CD">
        <w:trPr>
          <w:trHeight w:val="315"/>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2007</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1032</w:t>
            </w:r>
          </w:p>
        </w:tc>
        <w:tc>
          <w:tcPr>
            <w:tcW w:w="1713"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C522EA" w:rsidRPr="00E9291A" w:rsidTr="008531CD">
        <w:trPr>
          <w:trHeight w:val="315"/>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2008</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1438 ve 1808</w:t>
            </w:r>
            <w:r>
              <w:rPr>
                <w:rFonts w:eastAsia="Times New Roman"/>
                <w:color w:val="000000" w:themeColor="text1"/>
                <w:lang w:eastAsia="tr-TR"/>
              </w:rPr>
              <w:t>/1</w:t>
            </w:r>
          </w:p>
        </w:tc>
        <w:tc>
          <w:tcPr>
            <w:tcW w:w="1713"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C522EA" w:rsidRPr="00E9291A" w:rsidTr="008531CD">
        <w:trPr>
          <w:trHeight w:val="315"/>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2009</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1896</w:t>
            </w:r>
            <w:r>
              <w:rPr>
                <w:rFonts w:eastAsia="Times New Roman"/>
                <w:color w:val="000000" w:themeColor="text1"/>
                <w:lang w:eastAsia="tr-TR"/>
              </w:rPr>
              <w:t>/1</w:t>
            </w:r>
          </w:p>
        </w:tc>
        <w:tc>
          <w:tcPr>
            <w:tcW w:w="1713"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1.000.000 </w:t>
            </w:r>
          </w:p>
        </w:tc>
        <w:tc>
          <w:tcPr>
            <w:tcW w:w="1538"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C522EA" w:rsidRPr="00E9291A" w:rsidTr="008531CD">
        <w:trPr>
          <w:trHeight w:val="315"/>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2010</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2378</w:t>
            </w:r>
          </w:p>
        </w:tc>
        <w:tc>
          <w:tcPr>
            <w:tcW w:w="1713"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800.000 </w:t>
            </w:r>
          </w:p>
        </w:tc>
        <w:tc>
          <w:tcPr>
            <w:tcW w:w="1538"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C522EA" w:rsidRPr="00E9291A" w:rsidTr="008531CD">
        <w:trPr>
          <w:trHeight w:val="315"/>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2011</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2966</w:t>
            </w:r>
          </w:p>
        </w:tc>
        <w:tc>
          <w:tcPr>
            <w:tcW w:w="1713"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700.000 </w:t>
            </w:r>
          </w:p>
        </w:tc>
        <w:tc>
          <w:tcPr>
            <w:tcW w:w="1538"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C522EA" w:rsidRPr="00E9291A" w:rsidTr="008531CD">
        <w:trPr>
          <w:trHeight w:val="315"/>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2012</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3600</w:t>
            </w:r>
          </w:p>
        </w:tc>
        <w:tc>
          <w:tcPr>
            <w:tcW w:w="1713"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300.000 </w:t>
            </w:r>
          </w:p>
        </w:tc>
        <w:tc>
          <w:tcPr>
            <w:tcW w:w="1538" w:type="pct"/>
            <w:shd w:val="clear" w:color="auto" w:fill="auto"/>
            <w:noWrap/>
            <w:vAlign w:val="bottom"/>
            <w:hideMark/>
          </w:tcPr>
          <w:p w:rsidR="00C522EA" w:rsidRPr="00E9291A" w:rsidRDefault="00C522EA" w:rsidP="008531CD">
            <w:pPr>
              <w:spacing w:after="0" w:line="240" w:lineRule="auto"/>
              <w:jc w:val="right"/>
              <w:rPr>
                <w:rFonts w:eastAsia="Times New Roman"/>
                <w:color w:val="000000" w:themeColor="text1"/>
                <w:lang w:eastAsia="tr-TR"/>
              </w:rPr>
            </w:pPr>
            <w:r w:rsidRPr="00E9291A">
              <w:rPr>
                <w:rFonts w:eastAsia="Times New Roman"/>
                <w:color w:val="000000" w:themeColor="text1"/>
                <w:lang w:eastAsia="tr-TR"/>
              </w:rPr>
              <w:t xml:space="preserve">15.000.000 </w:t>
            </w:r>
          </w:p>
        </w:tc>
      </w:tr>
      <w:tr w:rsidR="00C522EA" w:rsidRPr="003B5E3C" w:rsidTr="008531CD">
        <w:trPr>
          <w:trHeight w:val="1353"/>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2013</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4168</w:t>
            </w:r>
          </w:p>
        </w:tc>
        <w:tc>
          <w:tcPr>
            <w:tcW w:w="1713" w:type="pct"/>
            <w:shd w:val="clear" w:color="auto" w:fill="auto"/>
            <w:vAlign w:val="bottom"/>
            <w:hideMark/>
          </w:tcPr>
          <w:p w:rsidR="00C522EA" w:rsidRPr="00E9291A" w:rsidRDefault="003B5E3C" w:rsidP="008531CD">
            <w:pPr>
              <w:spacing w:after="0" w:line="240" w:lineRule="auto"/>
              <w:jc w:val="both"/>
              <w:rPr>
                <w:rFonts w:eastAsia="Times New Roman"/>
                <w:color w:val="000000" w:themeColor="text1"/>
                <w:lang w:eastAsia="tr-TR"/>
              </w:rPr>
            </w:pPr>
            <w:r w:rsidRPr="00AB35EE">
              <w:rPr>
                <w:rFonts w:eastAsia="Times New Roman"/>
                <w:color w:val="000000" w:themeColor="text1"/>
                <w:lang w:eastAsia="tr-TR"/>
              </w:rPr>
              <w:t>All consumers except the ones with less than 300.000 m</w:t>
            </w:r>
            <w:r w:rsidRPr="00AB35EE">
              <w:rPr>
                <w:rFonts w:eastAsia="Times New Roman"/>
                <w:color w:val="000000" w:themeColor="text1"/>
                <w:vertAlign w:val="superscript"/>
                <w:lang w:eastAsia="tr-TR"/>
              </w:rPr>
              <w:t>3</w:t>
            </w:r>
            <w:r w:rsidRPr="00AB35EE">
              <w:rPr>
                <w:rFonts w:eastAsia="Times New Roman"/>
                <w:color w:val="000000" w:themeColor="text1"/>
                <w:lang w:eastAsia="tr-TR"/>
              </w:rPr>
              <w:t xml:space="preserve"> consumption (households) are eligible consumers*</w:t>
            </w:r>
          </w:p>
        </w:tc>
        <w:tc>
          <w:tcPr>
            <w:tcW w:w="1538" w:type="pct"/>
            <w:shd w:val="clear" w:color="auto" w:fill="auto"/>
            <w:vAlign w:val="center"/>
            <w:hideMark/>
          </w:tcPr>
          <w:p w:rsidR="00C522EA" w:rsidRPr="003B5E3C" w:rsidRDefault="003B5E3C" w:rsidP="008531CD">
            <w:pPr>
              <w:spacing w:after="0" w:line="240" w:lineRule="auto"/>
              <w:jc w:val="both"/>
              <w:rPr>
                <w:rFonts w:eastAsia="Times New Roman"/>
                <w:color w:val="000000" w:themeColor="text1"/>
                <w:lang w:val="en-GB" w:eastAsia="tr-TR"/>
              </w:rPr>
            </w:pPr>
            <w:r w:rsidRPr="00AB35EE">
              <w:rPr>
                <w:rFonts w:eastAsia="Times New Roman"/>
                <w:color w:val="000000" w:themeColor="text1"/>
                <w:lang w:eastAsia="tr-TR"/>
              </w:rPr>
              <w:t>Stated in the tender notice and the license.</w:t>
            </w:r>
          </w:p>
        </w:tc>
      </w:tr>
      <w:tr w:rsidR="00C522EA" w:rsidRPr="003B5E3C" w:rsidTr="008531CD">
        <w:trPr>
          <w:trHeight w:val="1259"/>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2014</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4793</w:t>
            </w:r>
          </w:p>
        </w:tc>
        <w:tc>
          <w:tcPr>
            <w:tcW w:w="1713" w:type="pct"/>
            <w:shd w:val="clear" w:color="auto" w:fill="auto"/>
            <w:vAlign w:val="bottom"/>
            <w:hideMark/>
          </w:tcPr>
          <w:p w:rsidR="00C522EA" w:rsidRPr="00E9291A" w:rsidRDefault="003B5E3C" w:rsidP="008531CD">
            <w:pPr>
              <w:spacing w:after="0" w:line="240" w:lineRule="auto"/>
              <w:jc w:val="both"/>
              <w:rPr>
                <w:rFonts w:eastAsia="Times New Roman"/>
                <w:color w:val="000000" w:themeColor="text1"/>
                <w:lang w:eastAsia="tr-TR"/>
              </w:rPr>
            </w:pPr>
            <w:r w:rsidRPr="00AB35EE">
              <w:rPr>
                <w:rFonts w:eastAsia="Times New Roman"/>
                <w:color w:val="000000" w:themeColor="text1"/>
                <w:lang w:eastAsia="tr-TR"/>
              </w:rPr>
              <w:t>All consumers except the ones with less than 100.000 m3 consumption (households) are eligible consumers*</w:t>
            </w:r>
          </w:p>
        </w:tc>
        <w:tc>
          <w:tcPr>
            <w:tcW w:w="1538" w:type="pct"/>
            <w:shd w:val="clear" w:color="auto" w:fill="auto"/>
            <w:vAlign w:val="center"/>
            <w:hideMark/>
          </w:tcPr>
          <w:p w:rsidR="00C522EA" w:rsidRPr="003B5E3C" w:rsidRDefault="003B5E3C" w:rsidP="008531CD">
            <w:pPr>
              <w:spacing w:after="0" w:line="240" w:lineRule="auto"/>
              <w:jc w:val="both"/>
              <w:rPr>
                <w:rFonts w:eastAsia="Times New Roman"/>
                <w:color w:val="000000" w:themeColor="text1"/>
                <w:lang w:val="en-GB" w:eastAsia="tr-TR"/>
              </w:rPr>
            </w:pPr>
            <w:r w:rsidRPr="00AB35EE">
              <w:rPr>
                <w:rFonts w:eastAsia="Times New Roman"/>
                <w:color w:val="000000" w:themeColor="text1"/>
                <w:lang w:eastAsia="tr-TR"/>
              </w:rPr>
              <w:t>Stated in the tender notice and the license.</w:t>
            </w:r>
          </w:p>
        </w:tc>
      </w:tr>
      <w:tr w:rsidR="00C522EA" w:rsidRPr="003B5E3C" w:rsidTr="008531CD">
        <w:trPr>
          <w:trHeight w:val="1336"/>
        </w:trPr>
        <w:tc>
          <w:tcPr>
            <w:tcW w:w="688"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2015</w:t>
            </w:r>
          </w:p>
        </w:tc>
        <w:tc>
          <w:tcPr>
            <w:tcW w:w="1061" w:type="pct"/>
            <w:shd w:val="clear" w:color="auto" w:fill="auto"/>
            <w:noWrap/>
            <w:vAlign w:val="center"/>
            <w:hideMark/>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5362</w:t>
            </w:r>
          </w:p>
        </w:tc>
        <w:tc>
          <w:tcPr>
            <w:tcW w:w="1713" w:type="pct"/>
            <w:shd w:val="clear" w:color="auto" w:fill="auto"/>
            <w:vAlign w:val="bottom"/>
            <w:hideMark/>
          </w:tcPr>
          <w:p w:rsidR="00C522EA" w:rsidRPr="00E9291A" w:rsidRDefault="003B5E3C" w:rsidP="008531CD">
            <w:pPr>
              <w:spacing w:after="0" w:line="240" w:lineRule="auto"/>
              <w:jc w:val="both"/>
              <w:rPr>
                <w:rFonts w:eastAsia="Times New Roman"/>
                <w:color w:val="000000" w:themeColor="text1"/>
                <w:lang w:eastAsia="tr-TR"/>
              </w:rPr>
            </w:pPr>
            <w:r w:rsidRPr="00AB35EE">
              <w:rPr>
                <w:rFonts w:eastAsia="Times New Roman"/>
                <w:color w:val="000000" w:themeColor="text1"/>
                <w:lang w:eastAsia="tr-TR"/>
              </w:rPr>
              <w:t>All consumers except the ones with less than 75.000 m3 consumption (households) are eligible consumers*</w:t>
            </w:r>
          </w:p>
        </w:tc>
        <w:tc>
          <w:tcPr>
            <w:tcW w:w="1538" w:type="pct"/>
            <w:shd w:val="clear" w:color="auto" w:fill="auto"/>
            <w:vAlign w:val="center"/>
            <w:hideMark/>
          </w:tcPr>
          <w:p w:rsidR="00C522EA" w:rsidRPr="003B5E3C" w:rsidRDefault="003B5E3C" w:rsidP="008531CD">
            <w:pPr>
              <w:spacing w:after="0" w:line="240" w:lineRule="auto"/>
              <w:jc w:val="both"/>
              <w:rPr>
                <w:rFonts w:eastAsia="Times New Roman"/>
                <w:color w:val="000000" w:themeColor="text1"/>
                <w:lang w:val="en-GB" w:eastAsia="tr-TR"/>
              </w:rPr>
            </w:pPr>
            <w:r w:rsidRPr="00AB35EE">
              <w:rPr>
                <w:rFonts w:eastAsia="Times New Roman"/>
                <w:color w:val="000000" w:themeColor="text1"/>
                <w:lang w:eastAsia="tr-TR"/>
              </w:rPr>
              <w:t>Stated in the tender notice and the license.</w:t>
            </w:r>
          </w:p>
        </w:tc>
      </w:tr>
      <w:tr w:rsidR="00C522EA" w:rsidRPr="003B5E3C" w:rsidTr="008531CD">
        <w:trPr>
          <w:trHeight w:val="1033"/>
        </w:trPr>
        <w:tc>
          <w:tcPr>
            <w:tcW w:w="688" w:type="pct"/>
            <w:shd w:val="clear" w:color="auto" w:fill="auto"/>
            <w:noWrap/>
            <w:vAlign w:val="center"/>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2016</w:t>
            </w:r>
          </w:p>
        </w:tc>
        <w:tc>
          <w:tcPr>
            <w:tcW w:w="1061" w:type="pct"/>
            <w:shd w:val="clear" w:color="auto" w:fill="auto"/>
            <w:noWrap/>
            <w:vAlign w:val="center"/>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5920</w:t>
            </w:r>
          </w:p>
        </w:tc>
        <w:tc>
          <w:tcPr>
            <w:tcW w:w="1713" w:type="pct"/>
            <w:shd w:val="clear" w:color="auto" w:fill="auto"/>
            <w:vAlign w:val="bottom"/>
          </w:tcPr>
          <w:p w:rsidR="00C522EA" w:rsidRPr="00E9291A" w:rsidRDefault="003B5E3C" w:rsidP="008531CD">
            <w:pPr>
              <w:spacing w:after="0" w:line="240" w:lineRule="auto"/>
              <w:jc w:val="both"/>
              <w:rPr>
                <w:rFonts w:eastAsia="Times New Roman"/>
                <w:color w:val="000000" w:themeColor="text1"/>
                <w:lang w:eastAsia="tr-TR"/>
              </w:rPr>
            </w:pPr>
            <w:r w:rsidRPr="00AB35EE">
              <w:rPr>
                <w:rFonts w:eastAsia="Times New Roman"/>
                <w:color w:val="000000" w:themeColor="text1"/>
                <w:lang w:eastAsia="tr-TR"/>
              </w:rPr>
              <w:t>All consumers except the ones with less than 75.000 m3 consumption (households) are eligible consumers*</w:t>
            </w:r>
          </w:p>
        </w:tc>
        <w:tc>
          <w:tcPr>
            <w:tcW w:w="1538" w:type="pct"/>
            <w:shd w:val="clear" w:color="auto" w:fill="auto"/>
            <w:vAlign w:val="center"/>
          </w:tcPr>
          <w:p w:rsidR="00C522EA" w:rsidRPr="003B5E3C" w:rsidRDefault="003B5E3C" w:rsidP="008531CD">
            <w:pPr>
              <w:spacing w:after="0" w:line="240" w:lineRule="auto"/>
              <w:jc w:val="both"/>
              <w:rPr>
                <w:rFonts w:eastAsia="Times New Roman"/>
                <w:color w:val="000000" w:themeColor="text1"/>
                <w:lang w:val="en-GB" w:eastAsia="tr-TR"/>
              </w:rPr>
            </w:pPr>
            <w:r w:rsidRPr="00AB35EE">
              <w:rPr>
                <w:rFonts w:eastAsia="Times New Roman"/>
                <w:color w:val="000000" w:themeColor="text1"/>
                <w:lang w:eastAsia="tr-TR"/>
              </w:rPr>
              <w:t>Stated in the tender notice and the license.</w:t>
            </w:r>
          </w:p>
        </w:tc>
      </w:tr>
      <w:tr w:rsidR="00C522EA" w:rsidRPr="003B5E3C" w:rsidTr="008531CD">
        <w:trPr>
          <w:trHeight w:val="964"/>
        </w:trPr>
        <w:tc>
          <w:tcPr>
            <w:tcW w:w="688" w:type="pct"/>
            <w:shd w:val="clear" w:color="auto" w:fill="auto"/>
            <w:noWrap/>
            <w:vAlign w:val="center"/>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2017</w:t>
            </w:r>
          </w:p>
        </w:tc>
        <w:tc>
          <w:tcPr>
            <w:tcW w:w="1061" w:type="pct"/>
            <w:shd w:val="clear" w:color="auto" w:fill="auto"/>
            <w:noWrap/>
            <w:vAlign w:val="center"/>
          </w:tcPr>
          <w:p w:rsidR="00C522EA" w:rsidRPr="00E9291A" w:rsidRDefault="00C522EA" w:rsidP="008531CD">
            <w:pPr>
              <w:spacing w:after="0" w:line="240" w:lineRule="auto"/>
              <w:jc w:val="center"/>
              <w:rPr>
                <w:rFonts w:eastAsia="Times New Roman"/>
                <w:color w:val="000000" w:themeColor="text1"/>
                <w:lang w:eastAsia="tr-TR"/>
              </w:rPr>
            </w:pPr>
            <w:r w:rsidRPr="00E9291A">
              <w:rPr>
                <w:rFonts w:eastAsia="Times New Roman"/>
                <w:color w:val="000000" w:themeColor="text1"/>
                <w:lang w:eastAsia="tr-TR"/>
              </w:rPr>
              <w:t>6778</w:t>
            </w:r>
          </w:p>
        </w:tc>
        <w:tc>
          <w:tcPr>
            <w:tcW w:w="1713" w:type="pct"/>
            <w:shd w:val="clear" w:color="auto" w:fill="auto"/>
            <w:vAlign w:val="bottom"/>
          </w:tcPr>
          <w:p w:rsidR="00C522EA" w:rsidRPr="00E9291A" w:rsidRDefault="003B5E3C" w:rsidP="008531CD">
            <w:pPr>
              <w:spacing w:after="0" w:line="240" w:lineRule="auto"/>
              <w:jc w:val="both"/>
              <w:rPr>
                <w:rFonts w:eastAsia="Times New Roman"/>
                <w:color w:val="000000" w:themeColor="text1"/>
                <w:lang w:eastAsia="tr-TR"/>
              </w:rPr>
            </w:pPr>
            <w:r w:rsidRPr="00AB35EE">
              <w:rPr>
                <w:rFonts w:eastAsia="Times New Roman"/>
                <w:color w:val="000000" w:themeColor="text1"/>
                <w:lang w:eastAsia="tr-TR"/>
              </w:rPr>
              <w:t>All consumers except the ones with less than 75.000 m3 consumption (households) are eligible consumers*</w:t>
            </w:r>
          </w:p>
        </w:tc>
        <w:tc>
          <w:tcPr>
            <w:tcW w:w="1538" w:type="pct"/>
            <w:shd w:val="clear" w:color="auto" w:fill="auto"/>
            <w:vAlign w:val="center"/>
          </w:tcPr>
          <w:p w:rsidR="00C522EA" w:rsidRPr="003B5E3C" w:rsidRDefault="003B5E3C" w:rsidP="008531CD">
            <w:pPr>
              <w:spacing w:after="0" w:line="240" w:lineRule="auto"/>
              <w:jc w:val="both"/>
              <w:rPr>
                <w:rFonts w:eastAsia="Times New Roman"/>
                <w:color w:val="000000" w:themeColor="text1"/>
                <w:lang w:val="en-GB" w:eastAsia="tr-TR"/>
              </w:rPr>
            </w:pPr>
            <w:r w:rsidRPr="00AB35EE">
              <w:rPr>
                <w:rFonts w:eastAsia="Times New Roman"/>
                <w:color w:val="000000" w:themeColor="text1"/>
                <w:lang w:eastAsia="tr-TR"/>
              </w:rPr>
              <w:t>Stated in the tender notice and the license.</w:t>
            </w:r>
          </w:p>
        </w:tc>
      </w:tr>
      <w:tr w:rsidR="00C522EA" w:rsidRPr="003B5E3C" w:rsidTr="008531CD">
        <w:trPr>
          <w:trHeight w:val="964"/>
        </w:trPr>
        <w:tc>
          <w:tcPr>
            <w:tcW w:w="688" w:type="pct"/>
            <w:shd w:val="clear" w:color="auto" w:fill="auto"/>
            <w:noWrap/>
            <w:vAlign w:val="center"/>
          </w:tcPr>
          <w:p w:rsidR="00C522EA" w:rsidRPr="00E9291A" w:rsidRDefault="00C522EA" w:rsidP="008531CD">
            <w:pPr>
              <w:spacing w:after="0" w:line="240" w:lineRule="auto"/>
              <w:jc w:val="center"/>
              <w:rPr>
                <w:rFonts w:eastAsia="Times New Roman"/>
                <w:color w:val="000000" w:themeColor="text1"/>
                <w:lang w:eastAsia="tr-TR"/>
              </w:rPr>
            </w:pPr>
            <w:r>
              <w:rPr>
                <w:rFonts w:eastAsia="Times New Roman"/>
                <w:color w:val="000000" w:themeColor="text1"/>
                <w:lang w:eastAsia="tr-TR"/>
              </w:rPr>
              <w:t>2018</w:t>
            </w:r>
          </w:p>
        </w:tc>
        <w:tc>
          <w:tcPr>
            <w:tcW w:w="1061" w:type="pct"/>
            <w:shd w:val="clear" w:color="auto" w:fill="auto"/>
            <w:noWrap/>
            <w:vAlign w:val="center"/>
          </w:tcPr>
          <w:p w:rsidR="00C522EA" w:rsidRPr="00E9291A" w:rsidRDefault="00C522EA" w:rsidP="008531CD">
            <w:pPr>
              <w:spacing w:after="0" w:line="240" w:lineRule="auto"/>
              <w:jc w:val="center"/>
              <w:rPr>
                <w:rFonts w:eastAsia="Times New Roman"/>
                <w:color w:val="000000" w:themeColor="text1"/>
                <w:lang w:eastAsia="tr-TR"/>
              </w:rPr>
            </w:pPr>
            <w:r>
              <w:rPr>
                <w:rFonts w:eastAsia="Times New Roman"/>
                <w:color w:val="000000" w:themeColor="text1"/>
                <w:lang w:eastAsia="tr-TR"/>
              </w:rPr>
              <w:t>7537</w:t>
            </w:r>
          </w:p>
        </w:tc>
        <w:tc>
          <w:tcPr>
            <w:tcW w:w="1713" w:type="pct"/>
            <w:shd w:val="clear" w:color="auto" w:fill="auto"/>
            <w:vAlign w:val="bottom"/>
          </w:tcPr>
          <w:p w:rsidR="00C522EA" w:rsidRPr="00E9291A" w:rsidRDefault="003B5E3C" w:rsidP="008531CD">
            <w:pPr>
              <w:spacing w:after="0" w:line="240" w:lineRule="auto"/>
              <w:jc w:val="both"/>
              <w:rPr>
                <w:rFonts w:eastAsia="Times New Roman"/>
                <w:color w:val="000000" w:themeColor="text1"/>
                <w:lang w:eastAsia="tr-TR"/>
              </w:rPr>
            </w:pPr>
            <w:r w:rsidRPr="00AB35EE">
              <w:rPr>
                <w:rFonts w:eastAsia="Times New Roman"/>
                <w:color w:val="000000" w:themeColor="text1"/>
                <w:lang w:eastAsia="tr-TR"/>
              </w:rPr>
              <w:t>All consumers except the ones with less than 75.000 m3 consumption (households) are eligible consumers*</w:t>
            </w:r>
          </w:p>
        </w:tc>
        <w:tc>
          <w:tcPr>
            <w:tcW w:w="1538" w:type="pct"/>
            <w:shd w:val="clear" w:color="auto" w:fill="auto"/>
            <w:vAlign w:val="center"/>
          </w:tcPr>
          <w:p w:rsidR="00C522EA" w:rsidRPr="003B5E3C" w:rsidRDefault="003B5E3C" w:rsidP="008531CD">
            <w:pPr>
              <w:spacing w:after="0" w:line="240" w:lineRule="auto"/>
              <w:jc w:val="both"/>
              <w:rPr>
                <w:rFonts w:eastAsia="Times New Roman"/>
                <w:color w:val="000000" w:themeColor="text1"/>
                <w:lang w:val="en-GB" w:eastAsia="tr-TR"/>
              </w:rPr>
            </w:pPr>
            <w:r w:rsidRPr="00AB35EE">
              <w:rPr>
                <w:rFonts w:eastAsia="Times New Roman"/>
                <w:color w:val="000000" w:themeColor="text1"/>
                <w:lang w:eastAsia="tr-TR"/>
              </w:rPr>
              <w:t>Stated in the tender notice and the license.</w:t>
            </w:r>
          </w:p>
        </w:tc>
      </w:tr>
      <w:tr w:rsidR="00C522EA" w:rsidRPr="003B5E3C" w:rsidTr="008531CD">
        <w:trPr>
          <w:trHeight w:val="964"/>
        </w:trPr>
        <w:tc>
          <w:tcPr>
            <w:tcW w:w="688" w:type="pct"/>
            <w:shd w:val="clear" w:color="auto" w:fill="auto"/>
            <w:noWrap/>
            <w:vAlign w:val="center"/>
          </w:tcPr>
          <w:p w:rsidR="00C522EA" w:rsidRDefault="00C522EA" w:rsidP="008531CD">
            <w:pPr>
              <w:spacing w:after="0" w:line="240" w:lineRule="auto"/>
              <w:jc w:val="center"/>
              <w:rPr>
                <w:rFonts w:eastAsia="Times New Roman"/>
                <w:color w:val="000000" w:themeColor="text1"/>
                <w:lang w:eastAsia="tr-TR"/>
              </w:rPr>
            </w:pPr>
            <w:r>
              <w:rPr>
                <w:rFonts w:eastAsia="Times New Roman"/>
                <w:color w:val="000000" w:themeColor="text1"/>
                <w:lang w:eastAsia="tr-TR"/>
              </w:rPr>
              <w:t>2019</w:t>
            </w:r>
          </w:p>
        </w:tc>
        <w:tc>
          <w:tcPr>
            <w:tcW w:w="1061" w:type="pct"/>
            <w:shd w:val="clear" w:color="auto" w:fill="auto"/>
            <w:noWrap/>
            <w:vAlign w:val="center"/>
          </w:tcPr>
          <w:p w:rsidR="00C522EA" w:rsidRDefault="00C522EA" w:rsidP="008531CD">
            <w:pPr>
              <w:spacing w:after="0" w:line="240" w:lineRule="auto"/>
              <w:jc w:val="center"/>
              <w:rPr>
                <w:rFonts w:eastAsia="Times New Roman"/>
                <w:color w:val="000000" w:themeColor="text1"/>
                <w:lang w:eastAsia="tr-TR"/>
              </w:rPr>
            </w:pPr>
            <w:r>
              <w:rPr>
                <w:rFonts w:eastAsia="Times New Roman"/>
                <w:color w:val="000000" w:themeColor="text1"/>
                <w:lang w:eastAsia="tr-TR"/>
              </w:rPr>
              <w:t>8265</w:t>
            </w:r>
          </w:p>
        </w:tc>
        <w:tc>
          <w:tcPr>
            <w:tcW w:w="1713" w:type="pct"/>
            <w:shd w:val="clear" w:color="auto" w:fill="auto"/>
            <w:vAlign w:val="bottom"/>
          </w:tcPr>
          <w:p w:rsidR="00C522EA" w:rsidRPr="00E9291A" w:rsidRDefault="003B5E3C" w:rsidP="008531CD">
            <w:pPr>
              <w:spacing w:after="0" w:line="240" w:lineRule="auto"/>
              <w:jc w:val="both"/>
              <w:rPr>
                <w:rFonts w:eastAsia="Times New Roman"/>
                <w:color w:val="000000" w:themeColor="text1"/>
                <w:lang w:eastAsia="tr-TR"/>
              </w:rPr>
            </w:pPr>
            <w:r w:rsidRPr="00AB35EE">
              <w:rPr>
                <w:rFonts w:eastAsia="Times New Roman"/>
                <w:color w:val="000000" w:themeColor="text1"/>
                <w:lang w:eastAsia="tr-TR"/>
              </w:rPr>
              <w:t>All consumers except the ones with less than 75.000 m3 consumption (households) are eligible consumers*</w:t>
            </w:r>
          </w:p>
        </w:tc>
        <w:tc>
          <w:tcPr>
            <w:tcW w:w="1538" w:type="pct"/>
            <w:shd w:val="clear" w:color="auto" w:fill="auto"/>
            <w:vAlign w:val="center"/>
          </w:tcPr>
          <w:p w:rsidR="00C522EA" w:rsidRPr="003B5E3C" w:rsidRDefault="003B5E3C" w:rsidP="008531CD">
            <w:pPr>
              <w:spacing w:after="0" w:line="240" w:lineRule="auto"/>
              <w:jc w:val="both"/>
              <w:rPr>
                <w:rFonts w:eastAsia="Times New Roman"/>
                <w:color w:val="000000" w:themeColor="text1"/>
                <w:lang w:val="en-GB" w:eastAsia="tr-TR"/>
              </w:rPr>
            </w:pPr>
            <w:r w:rsidRPr="00AB35EE">
              <w:rPr>
                <w:rFonts w:eastAsia="Times New Roman"/>
                <w:color w:val="000000" w:themeColor="text1"/>
                <w:lang w:eastAsia="tr-TR"/>
              </w:rPr>
              <w:t>Stated in the tender notice and the license.</w:t>
            </w:r>
          </w:p>
        </w:tc>
      </w:tr>
    </w:tbl>
    <w:p w:rsidR="00FE7FEB" w:rsidRDefault="003B5E3C" w:rsidP="00FE7FEB">
      <w:pPr>
        <w:spacing w:line="240" w:lineRule="auto"/>
        <w:jc w:val="both"/>
        <w:rPr>
          <w:rFonts w:ascii="Calibri" w:hAnsi="Calibri"/>
          <w:lang w:val="en-GB"/>
        </w:rPr>
      </w:pPr>
      <w:r>
        <w:rPr>
          <w:rFonts w:ascii="Calibri" w:hAnsi="Calibri"/>
          <w:lang w:val="en-GB"/>
        </w:rPr>
        <w:t xml:space="preserve"> </w:t>
      </w:r>
    </w:p>
    <w:p w:rsidR="005F5E6A" w:rsidRPr="00016A9F" w:rsidRDefault="005F5E6A" w:rsidP="005F5E6A">
      <w:pPr>
        <w:pStyle w:val="ListeParagraf"/>
        <w:spacing w:after="0" w:line="269" w:lineRule="auto"/>
        <w:ind w:left="142" w:hanging="142"/>
        <w:jc w:val="both"/>
        <w:rPr>
          <w:sz w:val="20"/>
          <w:szCs w:val="20"/>
        </w:rPr>
      </w:pPr>
      <w:r w:rsidRPr="00E9291A">
        <w:rPr>
          <w:color w:val="000000" w:themeColor="text1"/>
          <w:sz w:val="20"/>
          <w:szCs w:val="20"/>
        </w:rPr>
        <w:t>*</w:t>
      </w:r>
      <w:r w:rsidRPr="00E9291A">
        <w:rPr>
          <w:sz w:val="20"/>
          <w:szCs w:val="20"/>
        </w:rPr>
        <w:t xml:space="preserve"> </w:t>
      </w:r>
      <w:r w:rsidR="00C50925" w:rsidRPr="00C50925">
        <w:rPr>
          <w:sz w:val="20"/>
          <w:szCs w:val="20"/>
        </w:rPr>
        <w:t>Consumption measured from a single meter is taken into account in calculating the free consumer limit for residential consumers.</w:t>
      </w:r>
    </w:p>
    <w:p w:rsidR="005F5E6A" w:rsidRPr="000A49B0" w:rsidRDefault="00C50925" w:rsidP="00C50925">
      <w:pPr>
        <w:pStyle w:val="ListeParagraf"/>
        <w:numPr>
          <w:ilvl w:val="0"/>
          <w:numId w:val="43"/>
        </w:numPr>
        <w:tabs>
          <w:tab w:val="left" w:pos="284"/>
          <w:tab w:val="left" w:pos="709"/>
          <w:tab w:val="left" w:pos="851"/>
        </w:tabs>
        <w:spacing w:after="0" w:line="269" w:lineRule="auto"/>
        <w:jc w:val="both"/>
        <w:rPr>
          <w:color w:val="000000" w:themeColor="text1"/>
        </w:rPr>
      </w:pPr>
      <w:r w:rsidRPr="000A49B0">
        <w:rPr>
          <w:color w:val="000000" w:themeColor="text1"/>
        </w:rPr>
        <w:t>With the Board Decision dated 27.12.2018 and numbered 8294 published in the Official Gazette dated 29.12.2018 and numbered 30640, PUE was amended in accordance with the provisions of Article 19 of the Organized Wholesale Market Regulation and Article 14 of PUE. The amendments are effective as of 01.01.2019.</w:t>
      </w:r>
    </w:p>
    <w:p w:rsidR="00FE7FEB" w:rsidRPr="000A49B0" w:rsidRDefault="00C50925" w:rsidP="00347696">
      <w:pPr>
        <w:pStyle w:val="ListeParagraf"/>
        <w:numPr>
          <w:ilvl w:val="0"/>
          <w:numId w:val="43"/>
        </w:numPr>
        <w:tabs>
          <w:tab w:val="left" w:pos="709"/>
          <w:tab w:val="left" w:pos="851"/>
        </w:tabs>
        <w:spacing w:before="240" w:after="0" w:line="269" w:lineRule="auto"/>
        <w:jc w:val="both"/>
        <w:rPr>
          <w:rFonts w:ascii="Calibri" w:hAnsi="Calibri"/>
          <w:lang w:val="it-IT"/>
        </w:rPr>
      </w:pPr>
      <w:r w:rsidRPr="000A49B0">
        <w:rPr>
          <w:color w:val="000000" w:themeColor="text1"/>
        </w:rPr>
        <w:t>By the Board Decision dated 27.12.2018 and numbered 8295 published in the Official Gazette dated 29.12.2018 and numbered 30640, amendments were made in Network Code in line with the provisions of Article 5 of the Regulation on the Operation of the Natural Gas Market and the provisions stated in part 22 of the Principles Regarding the Operational Regulations of the BOTAŞ Transmission Network (SID).The amendments are effective as of 27.12.2018.</w:t>
      </w:r>
      <w:r w:rsidR="00347696" w:rsidRPr="000A49B0">
        <w:rPr>
          <w:rFonts w:ascii="Calibri" w:hAnsi="Calibri"/>
          <w:lang w:val="it-IT"/>
        </w:rPr>
        <w:t xml:space="preserve"> </w:t>
      </w:r>
    </w:p>
    <w:p w:rsidR="00C522EA" w:rsidRPr="000A49B0" w:rsidRDefault="00C522EA" w:rsidP="00C522EA">
      <w:pPr>
        <w:tabs>
          <w:tab w:val="left" w:pos="284"/>
          <w:tab w:val="left" w:pos="567"/>
          <w:tab w:val="left" w:pos="709"/>
          <w:tab w:val="left" w:pos="851"/>
        </w:tabs>
        <w:spacing w:after="120" w:line="240" w:lineRule="auto"/>
        <w:jc w:val="both"/>
        <w:rPr>
          <w:b/>
        </w:rPr>
      </w:pPr>
      <w:r w:rsidRPr="000A49B0">
        <w:rPr>
          <w:b/>
        </w:rPr>
        <w:t>Information on Natural Gas Distribution License Tenders;</w:t>
      </w:r>
    </w:p>
    <w:p w:rsidR="005F0CC7" w:rsidRPr="00B9432D" w:rsidRDefault="005F0CC7" w:rsidP="00347696">
      <w:pPr>
        <w:pStyle w:val="ListeParagraf"/>
        <w:numPr>
          <w:ilvl w:val="0"/>
          <w:numId w:val="45"/>
        </w:numPr>
        <w:tabs>
          <w:tab w:val="left" w:pos="284"/>
          <w:tab w:val="left" w:pos="567"/>
          <w:tab w:val="left" w:pos="709"/>
          <w:tab w:val="left" w:pos="851"/>
        </w:tabs>
        <w:spacing w:after="0" w:line="269" w:lineRule="auto"/>
        <w:jc w:val="both"/>
      </w:pPr>
      <w:r w:rsidRPr="000A49B0">
        <w:t xml:space="preserve">          </w:t>
      </w:r>
      <w:r w:rsidR="00347696" w:rsidRPr="000A49B0">
        <w:t xml:space="preserve"> In the period since 2001, when the Natural Gas Market Law No. 4646 was published, it has </w:t>
      </w:r>
      <w:r w:rsidR="00347696" w:rsidRPr="00B9432D">
        <w:t xml:space="preserve">been ensured that the use of natural gas has been widespread and natural gas distribution activities are carried out by the private sector through the in-city distribution license tenders held in line with the law and the secondary legislation. </w:t>
      </w:r>
    </w:p>
    <w:p w:rsidR="005F0CC7" w:rsidRPr="00B9432D" w:rsidRDefault="005F0CC7" w:rsidP="00347696">
      <w:pPr>
        <w:pStyle w:val="ListeParagraf"/>
        <w:numPr>
          <w:ilvl w:val="0"/>
          <w:numId w:val="45"/>
        </w:numPr>
        <w:tabs>
          <w:tab w:val="left" w:pos="284"/>
          <w:tab w:val="left" w:pos="567"/>
          <w:tab w:val="left" w:pos="709"/>
          <w:tab w:val="left" w:pos="851"/>
        </w:tabs>
        <w:spacing w:after="0" w:line="269" w:lineRule="auto"/>
        <w:jc w:val="both"/>
      </w:pPr>
      <w:r w:rsidRPr="00B9432D">
        <w:t xml:space="preserve">           </w:t>
      </w:r>
      <w:r w:rsidR="00347696" w:rsidRPr="00B9432D">
        <w:t>In accordance with the law, in-city  natural gas distribution service is performed by the distribution licensee by winning the tender held by EMRA. The bids submitted by the companies are evaluated based on the unit service and depreciation charge given as a single price for the presentation of one kWh of natural gas in accordance with the procedures and principles specified in the relevant legislation.</w:t>
      </w:r>
      <w:r w:rsidRPr="00B9432D">
        <w:t xml:space="preserve">   </w:t>
      </w:r>
    </w:p>
    <w:p w:rsidR="005F0CC7" w:rsidRPr="00B9432D" w:rsidRDefault="005F0CC7" w:rsidP="000A49B0">
      <w:pPr>
        <w:pStyle w:val="ListeParagraf"/>
        <w:numPr>
          <w:ilvl w:val="0"/>
          <w:numId w:val="45"/>
        </w:numPr>
        <w:tabs>
          <w:tab w:val="left" w:pos="284"/>
          <w:tab w:val="left" w:pos="567"/>
          <w:tab w:val="left" w:pos="709"/>
          <w:tab w:val="left" w:pos="851"/>
        </w:tabs>
        <w:spacing w:after="0" w:line="269" w:lineRule="auto"/>
        <w:jc w:val="both"/>
      </w:pPr>
      <w:r w:rsidRPr="00B9432D">
        <w:t xml:space="preserve">          </w:t>
      </w:r>
      <w:r w:rsidR="000A49B0" w:rsidRPr="00B9432D">
        <w:t>As a result of the tenders made by EMRA and distribution licenses granted before the Law within the scope of Natural Gas Market Law no.4646, use of natural gas started  in 81 cities and 495  provinces. In line with the objective of expanding the use of natural gas throughout the country, the tenders opened for the delivery of natural gas to Artvin, Hakkâri and Şırnak provinces, which were unsuccessful in previous years, were successfully completed in March 2017. Currently, licensing procedures have been completed and natural gas supply was realized in these provinces in 2018. Thus, the use of Natural Gas has been provided in 81 provinces.</w:t>
      </w:r>
    </w:p>
    <w:p w:rsidR="005F0CC7" w:rsidRPr="00B9432D" w:rsidRDefault="000A49B0" w:rsidP="000A49B0">
      <w:pPr>
        <w:pStyle w:val="ListeParagraf"/>
        <w:numPr>
          <w:ilvl w:val="0"/>
          <w:numId w:val="45"/>
        </w:numPr>
        <w:tabs>
          <w:tab w:val="left" w:pos="284"/>
        </w:tabs>
        <w:spacing w:after="0" w:line="269" w:lineRule="auto"/>
        <w:jc w:val="both"/>
      </w:pPr>
      <w:r w:rsidRPr="00B9432D">
        <w:t>• In line with the objective of expanding the use of natural gas throughout the country, necessary works are being carried out within the scope of the Council of Ministers Decisions taken for the purpose of delivering natural gas to the districts with a central population outside the scope of the existing natural gas distribution region license of 10 thousand and more than 20 thousand, and the inclusion of these districts within the scope of natural gas distribution regions. transactions and investment processes are monitored. A total of 72 Gaz Natural Gas Distribution Licenses 7 have been issued under the relevant legislation together with 7 distribution companies that carry out their activities before the Law no. 4646 and 65 distribution companies licensed by the tenders made by our Authority.</w:t>
      </w:r>
    </w:p>
    <w:p w:rsidR="005F0CC7" w:rsidRPr="00B9432D" w:rsidRDefault="005F0CC7" w:rsidP="000A49B0">
      <w:pPr>
        <w:pStyle w:val="ListeParagraf"/>
        <w:numPr>
          <w:ilvl w:val="0"/>
          <w:numId w:val="45"/>
        </w:numPr>
        <w:tabs>
          <w:tab w:val="left" w:pos="284"/>
          <w:tab w:val="left" w:pos="567"/>
          <w:tab w:val="left" w:pos="709"/>
          <w:tab w:val="left" w:pos="851"/>
        </w:tabs>
        <w:spacing w:after="0" w:line="269" w:lineRule="auto"/>
        <w:jc w:val="both"/>
      </w:pPr>
      <w:r w:rsidRPr="00B9432D">
        <w:t xml:space="preserve">         </w:t>
      </w:r>
      <w:r w:rsidR="000A49B0" w:rsidRPr="00B9432D">
        <w:t>Natural gas distribution is carried out by the private sector in all distribution regions except İstanbul Gas Distribution Industry and Trade Inc. (İGDAŞ).</w:t>
      </w:r>
      <w:r w:rsidRPr="00B9432D">
        <w:t xml:space="preserve"> </w:t>
      </w:r>
    </w:p>
    <w:p w:rsidR="005F0CC7" w:rsidRPr="00B9432D" w:rsidRDefault="005F0CC7" w:rsidP="00FE7FEB">
      <w:pPr>
        <w:spacing w:line="240" w:lineRule="auto"/>
        <w:jc w:val="both"/>
        <w:rPr>
          <w:rFonts w:ascii="Calibri" w:hAnsi="Calibri"/>
        </w:rPr>
      </w:pPr>
    </w:p>
    <w:p w:rsidR="00C522EA" w:rsidRPr="00B9432D" w:rsidRDefault="00C522EA" w:rsidP="00FF35DB">
      <w:pPr>
        <w:pStyle w:val="Balk2"/>
      </w:pPr>
      <w:bookmarkStart w:id="48" w:name="_Toc442431242"/>
      <w:bookmarkStart w:id="49" w:name="_Toc514251619"/>
      <w:bookmarkStart w:id="50" w:name="_Toc12956305"/>
      <w:r w:rsidRPr="00B9432D">
        <w:t xml:space="preserve">2.3.Petroleum Market </w:t>
      </w:r>
      <w:bookmarkEnd w:id="48"/>
      <w:bookmarkEnd w:id="49"/>
      <w:r w:rsidRPr="00B9432D">
        <w:t>Legislation</w:t>
      </w:r>
      <w:bookmarkEnd w:id="50"/>
    </w:p>
    <w:p w:rsidR="00C522EA" w:rsidRPr="00B9432D" w:rsidRDefault="00C522EA" w:rsidP="00C522EA">
      <w:pPr>
        <w:pStyle w:val="Balk3"/>
      </w:pPr>
      <w:bookmarkStart w:id="51" w:name="_Toc12956306"/>
      <w:r w:rsidRPr="00B9432D">
        <w:t>2.3.1.Law</w:t>
      </w:r>
      <w:bookmarkEnd w:id="51"/>
    </w:p>
    <w:p w:rsidR="005F0CC7" w:rsidRPr="00B9432D" w:rsidRDefault="00C522EA" w:rsidP="000A49B0">
      <w:pPr>
        <w:spacing w:line="240" w:lineRule="auto"/>
        <w:jc w:val="both"/>
        <w:rPr>
          <w:rFonts w:ascii="Calibri" w:hAnsi="Calibri"/>
        </w:rPr>
      </w:pPr>
      <w:r w:rsidRPr="00B9432D">
        <w:rPr>
          <w:rFonts w:ascii="Calibri" w:hAnsi="Calibri"/>
        </w:rPr>
        <w:t>In 2018, the following amendments were made to the Petroleum Market Law No. 5015.</w:t>
      </w:r>
      <w:bookmarkStart w:id="52" w:name="_Toc12956307"/>
    </w:p>
    <w:p w:rsidR="00FF35DB" w:rsidRPr="00B9432D" w:rsidRDefault="00FF35DB" w:rsidP="00C522EA">
      <w:pPr>
        <w:pStyle w:val="Balk3"/>
        <w:rPr>
          <w:rFonts w:ascii="Calibri" w:eastAsia="Calibri" w:hAnsi="Calibri" w:cs="Times New Roman"/>
          <w:b w:val="0"/>
          <w:sz w:val="22"/>
          <w:szCs w:val="22"/>
          <w:lang w:val="tr-TR"/>
        </w:rPr>
      </w:pPr>
      <w:r w:rsidRPr="00B9432D">
        <w:rPr>
          <w:rFonts w:ascii="Calibri" w:eastAsia="Calibri" w:hAnsi="Calibri" w:cs="Times New Roman"/>
          <w:b w:val="0"/>
          <w:sz w:val="22"/>
          <w:szCs w:val="22"/>
          <w:lang w:val="tr-TR"/>
        </w:rPr>
        <w:t xml:space="preserve">• The following amendments were made to the Art. 147 of the Decree Law amending some laws and Decree Laws In order to ensure the alignment with the amendments made in the Constitution No:700 dated 02.07.2018 published in the Official Gazette dated 07.07.2018 and bis numbered 30471, and in the the Petroleum Market Law No. 5015;  </w:t>
      </w:r>
    </w:p>
    <w:p w:rsidR="00FF35DB" w:rsidRDefault="00FF35DB" w:rsidP="00FF35DB">
      <w:pPr>
        <w:pStyle w:val="Balk3"/>
        <w:numPr>
          <w:ilvl w:val="0"/>
          <w:numId w:val="53"/>
        </w:numPr>
        <w:rPr>
          <w:rFonts w:ascii="Calibri" w:eastAsia="Calibri" w:hAnsi="Calibri" w:cs="Times New Roman"/>
          <w:b w:val="0"/>
          <w:sz w:val="22"/>
          <w:szCs w:val="22"/>
          <w:lang w:val="tr-TR"/>
        </w:rPr>
      </w:pPr>
      <w:r w:rsidRPr="00B9432D">
        <w:rPr>
          <w:rFonts w:ascii="Calibri" w:eastAsia="Calibri" w:hAnsi="Calibri" w:cs="Times New Roman"/>
          <w:b w:val="0"/>
          <w:sz w:val="22"/>
          <w:szCs w:val="22"/>
          <w:lang w:val="tr-TR"/>
        </w:rPr>
        <w:t>The phrase "the proposal of the Ministry and the Council of Ministers" in the fifteenth paragraph</w:t>
      </w:r>
      <w:r w:rsidRPr="00FF35DB">
        <w:rPr>
          <w:rFonts w:ascii="Calibri" w:eastAsia="Calibri" w:hAnsi="Calibri" w:cs="Times New Roman"/>
          <w:b w:val="0"/>
          <w:sz w:val="22"/>
          <w:szCs w:val="22"/>
          <w:lang w:val="tr-TR"/>
        </w:rPr>
        <w:t xml:space="preserve"> of Article 10 has been changed to "President".</w:t>
      </w:r>
    </w:p>
    <w:p w:rsidR="00FF35DB" w:rsidRDefault="00FF35DB" w:rsidP="00FF35DB">
      <w:pPr>
        <w:pStyle w:val="Balk3"/>
        <w:numPr>
          <w:ilvl w:val="0"/>
          <w:numId w:val="53"/>
        </w:numPr>
        <w:rPr>
          <w:rFonts w:ascii="Calibri" w:eastAsia="Calibri" w:hAnsi="Calibri" w:cs="Times New Roman"/>
          <w:b w:val="0"/>
          <w:sz w:val="22"/>
          <w:szCs w:val="22"/>
          <w:lang w:val="tr-TR"/>
        </w:rPr>
      </w:pPr>
      <w:r w:rsidRPr="00FF35DB">
        <w:rPr>
          <w:rFonts w:ascii="Calibri" w:eastAsia="Calibri" w:hAnsi="Calibri" w:cs="Times New Roman"/>
          <w:b w:val="0"/>
          <w:sz w:val="22"/>
          <w:szCs w:val="22"/>
          <w:lang w:val="tr-TR"/>
        </w:rPr>
        <w:t>"The phrase "Council of Ministers" in the first paragraph of Article 15 has been changed to "President".</w:t>
      </w:r>
    </w:p>
    <w:p w:rsidR="00FF35DB" w:rsidRDefault="00FF35DB" w:rsidP="00FF35DB">
      <w:pPr>
        <w:pStyle w:val="Balk3"/>
        <w:numPr>
          <w:ilvl w:val="0"/>
          <w:numId w:val="53"/>
        </w:numPr>
        <w:rPr>
          <w:rFonts w:ascii="Calibri" w:eastAsia="Calibri" w:hAnsi="Calibri" w:cs="Times New Roman"/>
          <w:b w:val="0"/>
          <w:sz w:val="22"/>
          <w:szCs w:val="22"/>
          <w:lang w:val="tr-TR"/>
        </w:rPr>
      </w:pPr>
      <w:r w:rsidRPr="00FF35DB">
        <w:rPr>
          <w:rFonts w:ascii="Calibri" w:eastAsia="Calibri" w:hAnsi="Calibri" w:cs="Times New Roman"/>
          <w:b w:val="0"/>
          <w:sz w:val="22"/>
          <w:szCs w:val="22"/>
          <w:lang w:val="tr-TR"/>
        </w:rPr>
        <w:t>"The phrase  "to the Council of Ministers"  in the fifth paragraph of Article 16 has been changed to  "to the President" and the term "Council of Ministers"  has been changed to  "President"  and the seventh paragraph has been repealed.</w:t>
      </w:r>
    </w:p>
    <w:p w:rsidR="005F0CC7" w:rsidRPr="00B9432D" w:rsidRDefault="00FF35DB" w:rsidP="00FF35DB">
      <w:pPr>
        <w:pStyle w:val="Balk3"/>
        <w:numPr>
          <w:ilvl w:val="0"/>
          <w:numId w:val="53"/>
        </w:numPr>
        <w:rPr>
          <w:rFonts w:ascii="Calibri" w:eastAsia="Calibri" w:hAnsi="Calibri" w:cs="Times New Roman"/>
          <w:b w:val="0"/>
          <w:sz w:val="22"/>
          <w:szCs w:val="22"/>
          <w:lang w:val="tr-TR"/>
        </w:rPr>
      </w:pPr>
      <w:r w:rsidRPr="00FF35DB">
        <w:rPr>
          <w:rFonts w:ascii="Calibri" w:eastAsia="Calibri" w:hAnsi="Calibri" w:cs="Times New Roman"/>
          <w:b w:val="0"/>
          <w:sz w:val="22"/>
          <w:szCs w:val="22"/>
          <w:lang w:val="tr-TR"/>
        </w:rPr>
        <w:t>"</w:t>
      </w:r>
      <w:r w:rsidRPr="00B9432D">
        <w:rPr>
          <w:rFonts w:ascii="Calibri" w:eastAsia="Calibri" w:hAnsi="Calibri" w:cs="Times New Roman"/>
          <w:b w:val="0"/>
          <w:sz w:val="22"/>
          <w:szCs w:val="22"/>
          <w:lang w:val="tr-TR"/>
        </w:rPr>
        <w:t>The phrase  "Undersecretary of the Prime Ministry"  in the second paragraph of Temporary Article 2 has been changed to" the highest civil servant ".</w:t>
      </w:r>
    </w:p>
    <w:p w:rsidR="00FF35DB" w:rsidRPr="00B9432D" w:rsidRDefault="00FF35DB" w:rsidP="00FF35DB">
      <w:pPr>
        <w:rPr>
          <w:lang w:val="tr-TR"/>
        </w:rPr>
      </w:pPr>
    </w:p>
    <w:p w:rsidR="00C522EA" w:rsidRPr="00B9432D" w:rsidRDefault="00C522EA" w:rsidP="00C522EA">
      <w:pPr>
        <w:pStyle w:val="Balk3"/>
      </w:pPr>
      <w:r w:rsidRPr="00B9432D">
        <w:t>2.3.2.Regulations</w:t>
      </w:r>
      <w:bookmarkEnd w:id="52"/>
    </w:p>
    <w:p w:rsidR="00C522EA" w:rsidRPr="00B9432D" w:rsidRDefault="00C522EA" w:rsidP="00C522EA">
      <w:pPr>
        <w:rPr>
          <w:lang w:val="en-GB"/>
        </w:rPr>
      </w:pPr>
      <w:r w:rsidRPr="00B9432D">
        <w:rPr>
          <w:lang w:val="en-GB"/>
        </w:rPr>
        <w:t>In 2018, the following Regulation s</w:t>
      </w:r>
      <w:r w:rsidR="00FF35DB" w:rsidRPr="00B9432D">
        <w:rPr>
          <w:lang w:val="en-GB"/>
        </w:rPr>
        <w:t>tudies were conducted in the petroleum</w:t>
      </w:r>
      <w:r w:rsidRPr="00B9432D">
        <w:rPr>
          <w:lang w:val="en-GB"/>
        </w:rPr>
        <w:t xml:space="preserve"> market:</w:t>
      </w:r>
    </w:p>
    <w:p w:rsidR="005F0CC7" w:rsidRPr="00B9432D" w:rsidRDefault="005F0CC7" w:rsidP="005F0CC7">
      <w:pPr>
        <w:spacing w:after="0"/>
        <w:jc w:val="both"/>
        <w:rPr>
          <w:color w:val="000000" w:themeColor="text1"/>
        </w:rPr>
      </w:pPr>
    </w:p>
    <w:p w:rsidR="005F0CC7" w:rsidRPr="00B9432D" w:rsidRDefault="00722917" w:rsidP="00722917">
      <w:pPr>
        <w:pStyle w:val="ListeParagraf"/>
        <w:numPr>
          <w:ilvl w:val="0"/>
          <w:numId w:val="48"/>
        </w:numPr>
        <w:spacing w:after="200" w:line="276" w:lineRule="auto"/>
        <w:jc w:val="both"/>
        <w:rPr>
          <w:rFonts w:cstheme="minorHAnsi"/>
          <w:b/>
          <w:color w:val="000000" w:themeColor="text1"/>
        </w:rPr>
      </w:pPr>
      <w:r w:rsidRPr="00B9432D">
        <w:rPr>
          <w:rFonts w:cstheme="minorHAnsi"/>
          <w:color w:val="000000" w:themeColor="text1"/>
        </w:rPr>
        <w:t>With the Amending Regulation published in the Official Gazette dated 28.02.2018 and numbered 30346 the clause (c) of the first paragraph of Article 4  of the Petroleum Market Pricing Regulation, titled  "Definitions" “c) Wholesale price of fuel: the ceiling price at which Refining undertaking,, distribution, processing and bunker delivery companies can sell fuel to each other ”. The amendment is effective as of the date of publication.</w:t>
      </w:r>
    </w:p>
    <w:p w:rsidR="00FC3AAF" w:rsidRPr="00B9432D" w:rsidRDefault="00FC3AAF" w:rsidP="00FC3AAF">
      <w:pPr>
        <w:pStyle w:val="ListeParagraf"/>
        <w:numPr>
          <w:ilvl w:val="0"/>
          <w:numId w:val="48"/>
        </w:numPr>
        <w:spacing w:after="0" w:line="276" w:lineRule="auto"/>
        <w:jc w:val="both"/>
        <w:rPr>
          <w:rFonts w:cstheme="minorHAnsi"/>
          <w:color w:val="000000" w:themeColor="text1"/>
        </w:rPr>
      </w:pPr>
      <w:r w:rsidRPr="00B9432D">
        <w:t>Amending Regulation published in the Official Gazette dated 28.12.2018 and numbered 30639 and the first paragraph of Article 4 / A of Yönet National Marker Price and Guarantee Letter ğin of the Regulation on National Marker Application in Oil Market “(1) National marker price is stolen, lost and / or is the amount</w:t>
      </w:r>
      <w:r w:rsidRPr="00FC3AAF">
        <w:t xml:space="preserve"> corresponding to any tax arising from the amount of fuel that can be marked with the amount of national marker wasted. When calculating the national marker price, the fuel which has the highest tax among the average dealer prices announced by the eight distributor companies with the highest transaction volume is published on the website of the Authority among the fuel types that are to be added to the national marker in the Marketing Projection of the relevant year declared by the licensee. The average price is updated on the first day of each month and national marker collateral amounts are calculated over this price for one month. In case the delivered national marker is stolen, lost or wasted, the national marker price is calculated based on the average dealer price valid during the month in which the event occurred or detected. In cases where the national marker price cannot be calculated by the above method, the national marker price is calculated and the fuel which has the highest tax </w:t>
      </w:r>
      <w:r w:rsidRPr="00B9432D">
        <w:t>among the average dealer prices reported by eight distributor companies with the highest transaction volume is taken as the basis. ” The amendment is effective as of the date of publication.</w:t>
      </w:r>
    </w:p>
    <w:p w:rsidR="00FC3AAF" w:rsidRPr="00B9432D" w:rsidRDefault="00FC3AAF" w:rsidP="00FC3AAF">
      <w:pPr>
        <w:pStyle w:val="ListeParagraf"/>
        <w:numPr>
          <w:ilvl w:val="0"/>
          <w:numId w:val="48"/>
        </w:numPr>
        <w:spacing w:after="0" w:line="276" w:lineRule="auto"/>
        <w:jc w:val="both"/>
        <w:rPr>
          <w:lang w:val="en-GB"/>
        </w:rPr>
      </w:pPr>
      <w:r w:rsidRPr="00B9432D">
        <w:t>With the Regulation on the Amendment of the Petroleum Market License Regulation published in the Official Gazette No. 30633 dated 22.12.2018;</w:t>
      </w:r>
    </w:p>
    <w:p w:rsidR="00FC3AAF" w:rsidRPr="00B9432D" w:rsidRDefault="00FC3AAF" w:rsidP="00FC3AAF">
      <w:pPr>
        <w:pStyle w:val="ListeParagraf"/>
        <w:numPr>
          <w:ilvl w:val="1"/>
          <w:numId w:val="48"/>
        </w:numPr>
        <w:spacing w:after="0" w:line="276" w:lineRule="auto"/>
        <w:jc w:val="both"/>
        <w:rPr>
          <w:lang w:val="en-GB"/>
        </w:rPr>
      </w:pPr>
      <w:r w:rsidRPr="00B9432D">
        <w:t>Arrangements have been made regarding the electronic receipt of license applications and the reduction of the requested documents in order to reduce the bureaucracy in the application procedures.</w:t>
      </w:r>
    </w:p>
    <w:p w:rsidR="005F0CC7" w:rsidRPr="00B9432D" w:rsidRDefault="00FC3AAF" w:rsidP="00FC3AAF">
      <w:pPr>
        <w:pStyle w:val="ListeParagraf"/>
        <w:numPr>
          <w:ilvl w:val="1"/>
          <w:numId w:val="48"/>
        </w:numPr>
        <w:spacing w:after="0" w:line="276" w:lineRule="auto"/>
        <w:jc w:val="both"/>
        <w:rPr>
          <w:lang w:val="en-GB"/>
        </w:rPr>
      </w:pPr>
      <w:r w:rsidRPr="00B9432D">
        <w:t>The period determined as “three months inde in paragraph (d) of the first paragraph of Article 17, in which the cases where the dealership licenses terminated, has been changed to“ two months.</w:t>
      </w:r>
      <w:r w:rsidRPr="00B9432D">
        <w:rPr>
          <w:lang w:val="en-GB"/>
        </w:rPr>
        <w:t xml:space="preserve"> </w:t>
      </w:r>
    </w:p>
    <w:p w:rsidR="00FE7FEB" w:rsidRPr="00B9432D" w:rsidRDefault="00C522EA" w:rsidP="005F0CC7">
      <w:pPr>
        <w:rPr>
          <w:b/>
        </w:rPr>
      </w:pPr>
      <w:bookmarkStart w:id="53" w:name="_Toc12956308"/>
      <w:r w:rsidRPr="00B9432D">
        <w:rPr>
          <w:b/>
        </w:rPr>
        <w:t>2.3.3. Communiqués</w:t>
      </w:r>
      <w:bookmarkEnd w:id="53"/>
    </w:p>
    <w:p w:rsidR="00FE7FEB" w:rsidRPr="00B9432D" w:rsidRDefault="00C522EA" w:rsidP="00FE7FEB">
      <w:pPr>
        <w:spacing w:line="240" w:lineRule="auto"/>
        <w:jc w:val="both"/>
        <w:rPr>
          <w:rFonts w:ascii="Calibri" w:hAnsi="Calibri"/>
        </w:rPr>
      </w:pPr>
      <w:r w:rsidRPr="00B9432D">
        <w:rPr>
          <w:rFonts w:ascii="Calibri" w:hAnsi="Calibri"/>
        </w:rPr>
        <w:t xml:space="preserve">In 2018, the following communiqué </w:t>
      </w:r>
      <w:r w:rsidR="00FC3AAF" w:rsidRPr="00B9432D">
        <w:rPr>
          <w:rFonts w:ascii="Calibri" w:hAnsi="Calibri"/>
        </w:rPr>
        <w:t>studies were carried out in the petroleum</w:t>
      </w:r>
      <w:r w:rsidRPr="00B9432D">
        <w:rPr>
          <w:rFonts w:ascii="Calibri" w:hAnsi="Calibri"/>
        </w:rPr>
        <w:t xml:space="preserve"> market:</w:t>
      </w:r>
    </w:p>
    <w:p w:rsidR="005F0CC7" w:rsidRPr="00B9432D" w:rsidRDefault="005F0CC7" w:rsidP="005F0CC7">
      <w:pPr>
        <w:spacing w:after="0"/>
        <w:jc w:val="both"/>
        <w:rPr>
          <w:color w:val="000000" w:themeColor="text1"/>
        </w:rPr>
      </w:pPr>
    </w:p>
    <w:p w:rsidR="00FC3AAF" w:rsidRPr="00B9432D" w:rsidRDefault="00FC3AAF" w:rsidP="00FC3AAF">
      <w:pPr>
        <w:pStyle w:val="ListeParagraf"/>
        <w:numPr>
          <w:ilvl w:val="0"/>
          <w:numId w:val="48"/>
        </w:numPr>
        <w:spacing w:after="240" w:line="264" w:lineRule="auto"/>
        <w:jc w:val="both"/>
        <w:rPr>
          <w:sz w:val="23"/>
          <w:szCs w:val="23"/>
        </w:rPr>
      </w:pPr>
      <w:r w:rsidRPr="00B9432D">
        <w:t>Pursuant to Article 19 of the Petroleum Market Law No. 5015 published in the Official Gazette dated 21.12.2018 and numbered 30632, the Communiqué on Fines to be Applied in 2019 entered into force as of 01.01.2019.</w:t>
      </w:r>
    </w:p>
    <w:p w:rsidR="00FC3AAF" w:rsidRPr="00B9432D" w:rsidRDefault="00FC3AAF" w:rsidP="00FC3AAF">
      <w:pPr>
        <w:pStyle w:val="Balk3"/>
        <w:numPr>
          <w:ilvl w:val="0"/>
          <w:numId w:val="48"/>
        </w:numPr>
        <w:rPr>
          <w:rFonts w:eastAsiaTheme="minorHAnsi" w:cstheme="minorBidi"/>
          <w:b w:val="0"/>
          <w:sz w:val="22"/>
          <w:szCs w:val="22"/>
          <w:lang w:val="en-US"/>
        </w:rPr>
      </w:pPr>
      <w:bookmarkStart w:id="54" w:name="_Toc12956309"/>
      <w:r w:rsidRPr="00B9432D">
        <w:rPr>
          <w:rFonts w:eastAsiaTheme="minorHAnsi" w:cstheme="minorBidi"/>
          <w:b w:val="0"/>
          <w:sz w:val="22"/>
          <w:szCs w:val="22"/>
          <w:lang w:val="en-US"/>
        </w:rPr>
        <w:t>The Communiqué on the Amendment to the Communiqué on the Biodiesel Blending of Diesel Fuel Types published in the Official Gazette dated 20.12.2018 and numbered 30631 entered into force on the date of publication.</w:t>
      </w:r>
    </w:p>
    <w:p w:rsidR="00FC3AAF" w:rsidRPr="00B9432D" w:rsidRDefault="00FC3AAF" w:rsidP="00C522EA">
      <w:pPr>
        <w:pStyle w:val="Balk3"/>
        <w:rPr>
          <w:rFonts w:eastAsiaTheme="minorHAnsi" w:cstheme="minorBidi"/>
          <w:b w:val="0"/>
          <w:sz w:val="22"/>
          <w:szCs w:val="22"/>
          <w:lang w:val="en-US"/>
        </w:rPr>
      </w:pPr>
    </w:p>
    <w:p w:rsidR="00FE7FEB" w:rsidRPr="00B9432D" w:rsidRDefault="00C522EA" w:rsidP="00C522EA">
      <w:pPr>
        <w:pStyle w:val="Balk3"/>
      </w:pPr>
      <w:r w:rsidRPr="00B9432D">
        <w:t>2.3.4. Board Decisions</w:t>
      </w:r>
      <w:bookmarkEnd w:id="54"/>
    </w:p>
    <w:p w:rsidR="005F0CC7" w:rsidRPr="00B9432D" w:rsidRDefault="00C522EA" w:rsidP="00FC3AAF">
      <w:pPr>
        <w:jc w:val="both"/>
        <w:rPr>
          <w:lang w:val="en-GB"/>
        </w:rPr>
      </w:pPr>
      <w:r w:rsidRPr="00B9432D">
        <w:rPr>
          <w:lang w:val="en-GB"/>
        </w:rPr>
        <w:t>In 2018, the following Board Decisions have been established as a re</w:t>
      </w:r>
      <w:r w:rsidR="00FC3AAF" w:rsidRPr="00B9432D">
        <w:rPr>
          <w:lang w:val="en-GB"/>
        </w:rPr>
        <w:t xml:space="preserve">gulatory transaction in the petroleum </w:t>
      </w:r>
      <w:r w:rsidRPr="00B9432D">
        <w:rPr>
          <w:lang w:val="en-GB"/>
        </w:rPr>
        <w:t>market:</w:t>
      </w:r>
    </w:p>
    <w:p w:rsidR="005F0CC7" w:rsidRPr="00B9432D" w:rsidRDefault="005F0CC7" w:rsidP="005F0CC7">
      <w:pPr>
        <w:spacing w:after="0"/>
        <w:jc w:val="both"/>
      </w:pPr>
    </w:p>
    <w:p w:rsidR="005F0CC7" w:rsidRPr="00B9432D" w:rsidRDefault="00FC3AAF" w:rsidP="00FC3AAF">
      <w:pPr>
        <w:pStyle w:val="ListeParagraf"/>
        <w:numPr>
          <w:ilvl w:val="0"/>
          <w:numId w:val="51"/>
        </w:numPr>
        <w:spacing w:after="0" w:line="276" w:lineRule="auto"/>
        <w:jc w:val="both"/>
      </w:pPr>
      <w:r w:rsidRPr="00B9432D">
        <w:rPr>
          <w:rFonts w:cstheme="minorHAnsi"/>
          <w:bCs/>
        </w:rPr>
        <w:t>With the Board Decision on Amendment of the Board Decision dated 21.05.2015 and numbered 5605-2 published in the Official Gazette dated 17.02.2018 and numbered 30335, “National Marker Implementation Activities and Delivery Procedures and Principles Regarding National Marker 21 dated 21.05.2015 In the second sentence of the fourth paragraph of Article 6 of the Board Decision</w:t>
      </w:r>
      <w:r>
        <w:rPr>
          <w:rFonts w:cstheme="minorHAnsi"/>
          <w:bCs/>
        </w:rPr>
        <w:t>, “and processing (waste)</w:t>
      </w:r>
      <w:r w:rsidRPr="00FC3AAF">
        <w:rPr>
          <w:rFonts w:cstheme="minorHAnsi"/>
          <w:bCs/>
        </w:rPr>
        <w:t xml:space="preserve"> is added to come after the sonra processing (biodiesel)”. With this arrangement, simplified UM controller device (waste) license holders can </w:t>
      </w:r>
      <w:r w:rsidRPr="00B9432D">
        <w:rPr>
          <w:rFonts w:cstheme="minorHAnsi"/>
          <w:bCs/>
        </w:rPr>
        <w:t>also be given with the approval of the Board. The National Marker Request Form included in Annex-1 of the Decision was amended by the same Board Decision.</w:t>
      </w:r>
    </w:p>
    <w:p w:rsidR="005F0CC7" w:rsidRPr="00B9432D" w:rsidRDefault="00FC3AAF" w:rsidP="00FC3AAF">
      <w:pPr>
        <w:pStyle w:val="ListeParagraf"/>
        <w:numPr>
          <w:ilvl w:val="0"/>
          <w:numId w:val="51"/>
        </w:numPr>
        <w:spacing w:after="0" w:line="276" w:lineRule="auto"/>
        <w:jc w:val="both"/>
        <w:rPr>
          <w:color w:val="000000" w:themeColor="text1"/>
        </w:rPr>
      </w:pPr>
      <w:r w:rsidRPr="00B9432D">
        <w:rPr>
          <w:color w:val="000000" w:themeColor="text1"/>
        </w:rPr>
        <w:t>The Board Decision dated 12.07.2018 and numbered 7956 published in the Official Gazette dated 17.07.2018 and numbered 30481 and the Board Decision on the Amendment of the Board Decision regarding the announcement of License Application in the Petroleum Market dated 31.05.2011 and numbered 3242-2 were adopted. The amendment is related to the fact that the Minimum Distance Detection Report will not be required for license applications to be made for fuel stations that have already been licensed for dealership, except where the license has been terminated after it is understood that it has previously applied for a license contrary to the relevant legislation. The amendment is effective as of the date of publication.</w:t>
      </w:r>
    </w:p>
    <w:p w:rsidR="005F0CC7" w:rsidRPr="00B9432D" w:rsidRDefault="00FC3AAF" w:rsidP="00FC3AAF">
      <w:pPr>
        <w:pStyle w:val="ListeParagraf"/>
        <w:numPr>
          <w:ilvl w:val="0"/>
          <w:numId w:val="51"/>
        </w:numPr>
        <w:spacing w:after="0" w:line="276" w:lineRule="auto"/>
        <w:jc w:val="both"/>
      </w:pPr>
      <w:r w:rsidRPr="00B9432D">
        <w:rPr>
          <w:color w:val="000000" w:themeColor="text1"/>
        </w:rPr>
        <w:t>With the Board Decision dated 26.07.2018 and numbered 7980 published in the Official Gazette dated 02.08.2018 and numbered 30497, the Board Decision on Amendment to the Decision on Procedures and Principles Regarding the Dealer Inspection System of the Distributor License Holders of the Petroleum Market No. 1240 was adopted. The amendment is effective as of the date of publication.</w:t>
      </w:r>
    </w:p>
    <w:p w:rsidR="005F0CC7" w:rsidRPr="00B9432D" w:rsidRDefault="005B452E" w:rsidP="005B452E">
      <w:pPr>
        <w:pStyle w:val="ListeParagraf"/>
        <w:numPr>
          <w:ilvl w:val="0"/>
          <w:numId w:val="51"/>
        </w:numPr>
        <w:spacing w:after="0" w:line="276" w:lineRule="auto"/>
        <w:jc w:val="both"/>
      </w:pPr>
      <w:r w:rsidRPr="00B9432D">
        <w:rPr>
          <w:color w:val="000000" w:themeColor="text1"/>
        </w:rPr>
        <w:t>With the Board Decision dated 27.09.2018 and numbered 8085 published in the Official Gazette dated 03.10.2018 and numbered 30554, the Board Decision on the Amendment of the Board Decision on National Marker Application Activities and National Marker Delivery No. 5605-2 dated 21.05.2018 was adopted. The amendment relates to the application for the NM request, the supply of the NM, the delivery of the NM and the necessary actions to be taken if it is intended to be used in another facility. The amendments are effective as of the date of publication.</w:t>
      </w:r>
    </w:p>
    <w:p w:rsidR="005F0CC7" w:rsidRPr="00B9432D" w:rsidRDefault="005B452E" w:rsidP="005B452E">
      <w:pPr>
        <w:pStyle w:val="ListeParagraf"/>
        <w:numPr>
          <w:ilvl w:val="0"/>
          <w:numId w:val="51"/>
        </w:numPr>
        <w:spacing w:after="0" w:line="276" w:lineRule="auto"/>
        <w:jc w:val="both"/>
      </w:pPr>
      <w:r w:rsidRPr="00B9432D">
        <w:rPr>
          <w:color w:val="000000" w:themeColor="text1"/>
        </w:rPr>
        <w:t>With the Board Decision dated 13.12.2018 and numbered 8241 published in the Official Gazette dated 15.12.2018 and numbered 30626  the Board Decision on the Amendment of the Board Decision regarding the announcement of License Application in the Petroleum Market dated 31.05.2011 and numbered 3242-2 was adopted. The amendment relates to the possibility of filing an amendment electronically. The amendment is effective as of the date of publication.</w:t>
      </w:r>
    </w:p>
    <w:p w:rsidR="005F0CC7" w:rsidRPr="00B9432D" w:rsidRDefault="005B452E" w:rsidP="005B452E">
      <w:pPr>
        <w:pStyle w:val="ListeParagraf"/>
        <w:numPr>
          <w:ilvl w:val="0"/>
          <w:numId w:val="51"/>
        </w:numPr>
        <w:spacing w:after="0" w:line="276" w:lineRule="auto"/>
        <w:jc w:val="both"/>
      </w:pPr>
      <w:r w:rsidRPr="00B9432D">
        <w:rPr>
          <w:color w:val="000000" w:themeColor="text1"/>
        </w:rPr>
        <w:t>The Board Decision dated 13.12.2018 and numbered 8242 published in the Official Gazette dated 15.12.2018 and numbered 30626 and the Board Decision on the Amendment of the Board Decision regarding the Information and Documents to be sought in the Petroleum Market dated 31.05.2011 and numbered 3242-3 were adopted. The amendment is effective as of the date of publication</w:t>
      </w:r>
      <w:r w:rsidR="005F0CC7" w:rsidRPr="00B9432D">
        <w:rPr>
          <w:color w:val="000000" w:themeColor="text1"/>
        </w:rPr>
        <w:t xml:space="preserve">. </w:t>
      </w:r>
    </w:p>
    <w:p w:rsidR="005F0CC7" w:rsidRPr="00B9432D" w:rsidRDefault="005B452E" w:rsidP="005B452E">
      <w:pPr>
        <w:pStyle w:val="ListeParagraf"/>
        <w:numPr>
          <w:ilvl w:val="0"/>
          <w:numId w:val="51"/>
        </w:numPr>
        <w:spacing w:after="0" w:line="276" w:lineRule="auto"/>
        <w:jc w:val="both"/>
      </w:pPr>
      <w:r w:rsidRPr="00B9432D">
        <w:rPr>
          <w:color w:val="000000" w:themeColor="text1"/>
        </w:rPr>
        <w:t>The Board Decision dated 13.12.2018 and numbered 8243 published in the Official Gazette dated 15.12.2018 and numbered 30626 and the Board Decision on the Amendment of the Board Decision Regarding Information and Documents to be Seeked for Applications for Extension of the License in the Petroleum Market dated 31.05.2011 and numbered 3242-4 were adopted . The amendment is effective as of the date of publication.</w:t>
      </w:r>
    </w:p>
    <w:p w:rsidR="005B452E" w:rsidRPr="00B9432D" w:rsidRDefault="005B452E" w:rsidP="005B452E">
      <w:pPr>
        <w:pStyle w:val="ListeParagraf"/>
        <w:numPr>
          <w:ilvl w:val="0"/>
          <w:numId w:val="52"/>
        </w:numPr>
        <w:spacing w:after="0" w:line="276" w:lineRule="auto"/>
        <w:jc w:val="both"/>
      </w:pPr>
      <w:r w:rsidRPr="00B9432D">
        <w:rPr>
          <w:color w:val="000000" w:themeColor="text1"/>
        </w:rPr>
        <w:t>With the Board Decision dated 13.12.2018 and numbered 8245 published in the Official Gazette dated 15.12.2018 and numbered 30626, the resource requirement that may arise due to the acquisition of the complementary part of the national oil stock to be applied in 2019 pursuant to Article 16 of the Petroleum Market Law No. 5015 and Article 50 of the Petroleum Market License Regulation. financing expenses and income share costs to be used for the storage and maintenance costs of these stocks are determined. The share of income to be applied in 2019 determined in the decision;</w:t>
      </w:r>
    </w:p>
    <w:p w:rsidR="005B452E" w:rsidRPr="00B9432D" w:rsidRDefault="005B452E" w:rsidP="005B452E">
      <w:pPr>
        <w:spacing w:after="0" w:line="276" w:lineRule="auto"/>
        <w:ind w:left="1125"/>
        <w:jc w:val="both"/>
      </w:pPr>
    </w:p>
    <w:p w:rsidR="005F0CC7" w:rsidRPr="00B9432D" w:rsidRDefault="005B452E" w:rsidP="005B452E">
      <w:pPr>
        <w:pStyle w:val="ListeParagraf"/>
        <w:numPr>
          <w:ilvl w:val="0"/>
          <w:numId w:val="52"/>
        </w:numPr>
        <w:spacing w:after="0" w:line="276" w:lineRule="auto"/>
        <w:jc w:val="both"/>
      </w:pPr>
      <w:r w:rsidRPr="00B9432D">
        <w:t>Benzene types</w:t>
      </w:r>
      <w:r w:rsidR="005F0CC7" w:rsidRPr="00B9432D">
        <w:t xml:space="preserve"> (</w:t>
      </w:r>
      <w:r w:rsidRPr="00B9432D">
        <w:t xml:space="preserve">including bunker) for ethanol provided for blending with gasoline types; 3,93TL / m3 </w:t>
      </w:r>
    </w:p>
    <w:p w:rsidR="005F0CC7" w:rsidRPr="00B9432D" w:rsidRDefault="005B452E" w:rsidP="005B452E">
      <w:pPr>
        <w:pStyle w:val="ListeParagraf"/>
        <w:numPr>
          <w:ilvl w:val="0"/>
          <w:numId w:val="52"/>
        </w:numPr>
        <w:spacing w:after="0" w:line="276" w:lineRule="auto"/>
        <w:jc w:val="both"/>
      </w:pPr>
      <w:r w:rsidRPr="00B9432D">
        <w:t>For diesel (including bunker) and biodiesel types; $ 3.99 / m3</w:t>
      </w:r>
    </w:p>
    <w:p w:rsidR="005F0CC7" w:rsidRPr="00B9432D" w:rsidRDefault="005B452E" w:rsidP="005B452E">
      <w:pPr>
        <w:pStyle w:val="ListeParagraf"/>
        <w:numPr>
          <w:ilvl w:val="0"/>
          <w:numId w:val="52"/>
        </w:numPr>
        <w:spacing w:after="0" w:line="276" w:lineRule="auto"/>
        <w:jc w:val="both"/>
      </w:pPr>
      <w:r w:rsidRPr="00B9432D">
        <w:t>For aviation fuels; $ 3.99 / m3</w:t>
      </w:r>
    </w:p>
    <w:p w:rsidR="005F0CC7" w:rsidRPr="00B9432D" w:rsidRDefault="005B452E" w:rsidP="005B452E">
      <w:pPr>
        <w:pStyle w:val="ListeParagraf"/>
        <w:numPr>
          <w:ilvl w:val="0"/>
          <w:numId w:val="52"/>
        </w:numPr>
        <w:spacing w:after="0" w:line="276" w:lineRule="auto"/>
        <w:jc w:val="both"/>
      </w:pPr>
      <w:r w:rsidRPr="00B9432D">
        <w:t xml:space="preserve"> For distilled marine fuels; $ 3.99 / m3</w:t>
      </w:r>
    </w:p>
    <w:p w:rsidR="005F0CC7" w:rsidRPr="00B9432D" w:rsidRDefault="005B452E" w:rsidP="005B452E">
      <w:pPr>
        <w:pStyle w:val="ListeParagraf"/>
        <w:numPr>
          <w:ilvl w:val="0"/>
          <w:numId w:val="52"/>
        </w:numPr>
        <w:spacing w:after="0" w:line="276" w:lineRule="auto"/>
        <w:jc w:val="both"/>
      </w:pPr>
      <w:r w:rsidRPr="00B9432D">
        <w:t xml:space="preserve">For </w:t>
      </w:r>
      <w:r w:rsidR="00B9432D" w:rsidRPr="00B9432D">
        <w:t xml:space="preserve">residual </w:t>
      </w:r>
      <w:r w:rsidRPr="00B9432D">
        <w:t>maritime fuels; 4,18TL / tonne</w:t>
      </w:r>
      <w:r w:rsidR="00B9432D" w:rsidRPr="00B9432D">
        <w:t>s</w:t>
      </w:r>
    </w:p>
    <w:p w:rsidR="00C522EA" w:rsidRPr="00B9432D" w:rsidRDefault="00B9432D" w:rsidP="00B9432D">
      <w:pPr>
        <w:pStyle w:val="ListeParagraf"/>
        <w:numPr>
          <w:ilvl w:val="0"/>
          <w:numId w:val="52"/>
        </w:numPr>
        <w:rPr>
          <w:lang w:val="en-GB"/>
        </w:rPr>
      </w:pPr>
      <w:r w:rsidRPr="00B9432D">
        <w:t>For fuel oil (including bunker); 4,18TL / tonne</w:t>
      </w:r>
    </w:p>
    <w:p w:rsidR="00FE7FEB" w:rsidRPr="009461D6" w:rsidRDefault="00FE7FEB" w:rsidP="009461D6">
      <w:pPr>
        <w:pStyle w:val="Balk2"/>
      </w:pPr>
      <w:bookmarkStart w:id="55" w:name="_Toc442431247"/>
      <w:bookmarkStart w:id="56" w:name="_Toc6684442"/>
      <w:bookmarkStart w:id="57" w:name="_Toc12956310"/>
      <w:r w:rsidRPr="009461D6">
        <w:t>2.4.</w:t>
      </w:r>
      <w:bookmarkEnd w:id="55"/>
      <w:bookmarkEnd w:id="56"/>
      <w:r w:rsidR="009461D6" w:rsidRPr="009461D6">
        <w:t>Liquefied Petroleum Gases (LPG) Market Legislation</w:t>
      </w:r>
      <w:bookmarkEnd w:id="57"/>
    </w:p>
    <w:p w:rsidR="00FE7FEB" w:rsidRDefault="00FE7FEB" w:rsidP="004530BB">
      <w:pPr>
        <w:pStyle w:val="Balk3"/>
      </w:pPr>
      <w:bookmarkStart w:id="58" w:name="_Toc12956311"/>
      <w:r w:rsidRPr="00C04C57">
        <w:t>2.4.1.</w:t>
      </w:r>
      <w:r w:rsidR="009461D6">
        <w:t xml:space="preserve"> </w:t>
      </w:r>
      <w:r w:rsidRPr="00C04C57">
        <w:t>Law</w:t>
      </w:r>
      <w:bookmarkEnd w:id="58"/>
    </w:p>
    <w:p w:rsidR="00FE7FEB" w:rsidRDefault="00FE7FEB" w:rsidP="009461D6">
      <w:pPr>
        <w:tabs>
          <w:tab w:val="left" w:pos="567"/>
        </w:tabs>
      </w:pPr>
      <w:r w:rsidRPr="00C04C57">
        <w:t>In 2018, the following amendments were made to the Law No. 5307 on the Amendment of the Liquefied Petroleum Gas (LPG) Market Law and the Electricity Market Law.</w:t>
      </w:r>
    </w:p>
    <w:p w:rsidR="00FE7FEB" w:rsidRDefault="00FE7FEB" w:rsidP="00E37E90">
      <w:pPr>
        <w:pStyle w:val="ListeParagraf"/>
        <w:numPr>
          <w:ilvl w:val="0"/>
          <w:numId w:val="33"/>
        </w:numPr>
        <w:spacing w:after="200" w:line="276" w:lineRule="auto"/>
      </w:pPr>
      <w:r w:rsidRPr="00C04C57">
        <w:t>Liquefied Petroleum Gas (LPG) Market numbered 5307 and Article 65 of the Law Amending the Tax Laws and Tax Laws numbered 7103 and Certain Laws and Decree Laws dated 21.03.2018 and published in the Official Gazette dated 27.03.2018 and numbered 30373 (repeated)</w:t>
      </w:r>
      <w:r>
        <w:t xml:space="preserve"> a</w:t>
      </w:r>
      <w:r w:rsidRPr="00C04C57">
        <w:t>nd the second sentence of the fourth paragraph of Article 5 titled “Generation and distribution un of the Law on Amendments to the Electricity Market Law and the Electricity Market Law has been amended as follows and the following sentence has been added to follow this sentence.</w:t>
      </w:r>
    </w:p>
    <w:p w:rsidR="00FE7FEB" w:rsidRDefault="00FE7FEB" w:rsidP="00FE7FEB">
      <w:pPr>
        <w:pStyle w:val="ListeParagraf"/>
        <w:ind w:firstLine="696"/>
        <w:rPr>
          <w:i/>
          <w:iCs/>
        </w:rPr>
      </w:pPr>
      <w:r w:rsidRPr="00C04C57">
        <w:rPr>
          <w:i/>
          <w:iCs/>
        </w:rPr>
        <w:t>“Distributors are required to fulfill the stock obligation within the scope of the national oil stock liability pursuant to Law No. 5015.“</w:t>
      </w:r>
    </w:p>
    <w:p w:rsidR="00FE7FEB" w:rsidRDefault="00FE7FEB" w:rsidP="00FE7FEB">
      <w:pPr>
        <w:pStyle w:val="ListeParagraf"/>
        <w:ind w:firstLine="696"/>
        <w:rPr>
          <w:i/>
          <w:iCs/>
        </w:rPr>
      </w:pPr>
      <w:r>
        <w:rPr>
          <w:i/>
          <w:iCs/>
        </w:rPr>
        <w:t>“</w:t>
      </w:r>
      <w:r w:rsidRPr="00C04C57">
        <w:rPr>
          <w:i/>
          <w:iCs/>
        </w:rPr>
        <w:t>However, this obligation does not arise for Liquefied Petroleum Gas distributor license holders whose domestic market share is less than two percent in the period in which the stock calculation is based.</w:t>
      </w:r>
      <w:r>
        <w:rPr>
          <w:i/>
          <w:iCs/>
        </w:rPr>
        <w:t>”</w:t>
      </w:r>
    </w:p>
    <w:p w:rsidR="00FE7FEB" w:rsidRDefault="00FE7FEB" w:rsidP="00FE7FEB">
      <w:pPr>
        <w:pStyle w:val="ListeParagraf"/>
      </w:pPr>
      <w:r w:rsidRPr="00C04C57">
        <w:t>With this regulation, the distribution companies in the LPG market are obliged to keep stocks based on the article 16 of the Petroleum Market Law, but this obligation is valid for the distributors that have more than 2% of the domestic market share.</w:t>
      </w:r>
    </w:p>
    <w:p w:rsidR="00FE7FEB" w:rsidRDefault="00FE7FEB" w:rsidP="00E37E90">
      <w:pPr>
        <w:pStyle w:val="ListeParagraf"/>
        <w:numPr>
          <w:ilvl w:val="0"/>
          <w:numId w:val="33"/>
        </w:numPr>
        <w:spacing w:after="200" w:line="276" w:lineRule="auto"/>
      </w:pPr>
      <w:r w:rsidRPr="000C0B37">
        <w:t>Liquefied Petroleum Gas numbered 5307 and Article 5307 of the Decree Law No. 5307 on the Amendment of Certain Laws and Decree Laws in order to Comply with the Amendments made in the Constitution numbered 700 dated 02.07.2018 and published in the Official Gazette dated 07.07.2018 and numbered 30471 (repeated). (LPG) Market Law and Electricity Market Law Amendment Law;</w:t>
      </w:r>
    </w:p>
    <w:p w:rsidR="00FE7FEB" w:rsidRPr="000C0B37" w:rsidRDefault="00FE7FEB" w:rsidP="00FE7FEB">
      <w:pPr>
        <w:pStyle w:val="ListeParagraf"/>
      </w:pPr>
    </w:p>
    <w:p w:rsidR="00FE7FEB" w:rsidRDefault="00FE7FEB" w:rsidP="00FE7FEB">
      <w:pPr>
        <w:jc w:val="both"/>
      </w:pPr>
    </w:p>
    <w:p w:rsidR="00FE7FEB" w:rsidRPr="004530BB" w:rsidRDefault="004530BB" w:rsidP="004530BB">
      <w:pPr>
        <w:pStyle w:val="Balk3"/>
      </w:pPr>
      <w:bookmarkStart w:id="59" w:name="_Toc12956312"/>
      <w:r w:rsidRPr="004530BB">
        <w:t>2.4.2.</w:t>
      </w:r>
      <w:r w:rsidR="00FE7FEB" w:rsidRPr="004530BB">
        <w:t>Regulations</w:t>
      </w:r>
      <w:bookmarkEnd w:id="59"/>
    </w:p>
    <w:p w:rsidR="00FE7FEB" w:rsidRDefault="00FE7FEB" w:rsidP="00FE7FEB">
      <w:pPr>
        <w:jc w:val="both"/>
      </w:pPr>
      <w:r w:rsidRPr="00962647">
        <w:t>In 2018, no changes were made in the LPG market.</w:t>
      </w:r>
    </w:p>
    <w:p w:rsidR="00FE7FEB" w:rsidRPr="004530BB" w:rsidRDefault="004530BB" w:rsidP="004530BB">
      <w:pPr>
        <w:pStyle w:val="Balk3"/>
      </w:pPr>
      <w:bookmarkStart w:id="60" w:name="_Toc12956313"/>
      <w:r w:rsidRPr="004530BB">
        <w:t>2.4.3.</w:t>
      </w:r>
      <w:r w:rsidR="00FE7FEB" w:rsidRPr="004530BB">
        <w:t>Communiqués</w:t>
      </w:r>
      <w:bookmarkEnd w:id="60"/>
    </w:p>
    <w:p w:rsidR="00FE7FEB" w:rsidRDefault="00FE7FEB" w:rsidP="00FE7FEB">
      <w:r w:rsidRPr="00BF7355">
        <w:t>In 2018, the following communiqué activities were conducted in the LPG market:</w:t>
      </w:r>
    </w:p>
    <w:p w:rsidR="00FE7FEB" w:rsidRDefault="00FE7FEB" w:rsidP="00E37E90">
      <w:pPr>
        <w:pStyle w:val="ListeParagraf"/>
        <w:numPr>
          <w:ilvl w:val="0"/>
          <w:numId w:val="32"/>
        </w:numPr>
        <w:spacing w:after="200" w:line="276" w:lineRule="auto"/>
      </w:pPr>
      <w:r w:rsidRPr="00BF7355">
        <w:t>With the Communiqué on Amendment published in the Official Gazette dated 12.04.2018 and numbered 30389, Provisional Article 1 of the Communiqué on the Follow-up of Liquefied Petroleum Gas (LPG) Cylinders in the Market was amended. The amendment is related to the extension of the follow-up system until 31.12.2019.</w:t>
      </w:r>
    </w:p>
    <w:p w:rsidR="00FE7FEB" w:rsidRPr="00BF7355" w:rsidRDefault="00FE7FEB" w:rsidP="00E37E90">
      <w:pPr>
        <w:pStyle w:val="ListeParagraf"/>
        <w:numPr>
          <w:ilvl w:val="0"/>
          <w:numId w:val="32"/>
        </w:numPr>
        <w:spacing w:after="120" w:line="240" w:lineRule="auto"/>
        <w:jc w:val="both"/>
      </w:pPr>
      <w:r w:rsidRPr="00AB35EE">
        <w:t>The Communiqué on the Administrative Fines to be Applied in 201</w:t>
      </w:r>
      <w:r>
        <w:t>9</w:t>
      </w:r>
      <w:r w:rsidRPr="00AB35EE">
        <w:t xml:space="preserve"> as per the LPG Market Law No: 5307 published in the Official Gazette dated 21</w:t>
      </w:r>
      <w:r>
        <w:t>.</w:t>
      </w:r>
      <w:r w:rsidRPr="00AB35EE">
        <w:t>12</w:t>
      </w:r>
      <w:r>
        <w:t>.</w:t>
      </w:r>
      <w:r w:rsidRPr="00AB35EE">
        <w:t>201</w:t>
      </w:r>
      <w:r>
        <w:t>8</w:t>
      </w:r>
      <w:r w:rsidRPr="00AB35EE">
        <w:t xml:space="preserve"> and numbered 3</w:t>
      </w:r>
      <w:r>
        <w:t>0632</w:t>
      </w:r>
      <w:r w:rsidRPr="00AB35EE">
        <w:t xml:space="preserve"> and the Art.16 of the Law Amending the Electricity Market Law was adopted to be effective as of 01</w:t>
      </w:r>
      <w:r>
        <w:t>.</w:t>
      </w:r>
      <w:r w:rsidRPr="00AB35EE">
        <w:t>01</w:t>
      </w:r>
      <w:r>
        <w:t>.</w:t>
      </w:r>
      <w:r w:rsidRPr="00AB35EE">
        <w:t>201</w:t>
      </w:r>
      <w:r>
        <w:t>9</w:t>
      </w:r>
      <w:r w:rsidRPr="00AB35EE">
        <w:t>.</w:t>
      </w:r>
    </w:p>
    <w:p w:rsidR="00FE7FEB" w:rsidRDefault="00FE7FEB" w:rsidP="00FE7FEB">
      <w:pPr>
        <w:jc w:val="both"/>
      </w:pPr>
    </w:p>
    <w:p w:rsidR="00FE7FEB" w:rsidRPr="004530BB" w:rsidRDefault="004530BB" w:rsidP="004530BB">
      <w:pPr>
        <w:pStyle w:val="Balk3"/>
      </w:pPr>
      <w:bookmarkStart w:id="61" w:name="_Toc12956314"/>
      <w:r w:rsidRPr="004530BB">
        <w:t>2.4.4.</w:t>
      </w:r>
      <w:r w:rsidR="00FE7FEB" w:rsidRPr="004530BB">
        <w:t>Board Decisions</w:t>
      </w:r>
      <w:bookmarkEnd w:id="61"/>
    </w:p>
    <w:p w:rsidR="00FE7FEB" w:rsidRDefault="00FE7FEB" w:rsidP="00FE7FEB">
      <w:pPr>
        <w:jc w:val="both"/>
      </w:pPr>
      <w:r w:rsidRPr="00177CEF">
        <w:t>In 2018, the following Board decisions have been established as a regulatory transaction in the LPG market:</w:t>
      </w:r>
    </w:p>
    <w:p w:rsidR="00FE7FEB" w:rsidRDefault="00FE7FEB" w:rsidP="00E37E90">
      <w:pPr>
        <w:pStyle w:val="ListeParagraf"/>
        <w:numPr>
          <w:ilvl w:val="0"/>
          <w:numId w:val="31"/>
        </w:numPr>
        <w:spacing w:after="200" w:line="276" w:lineRule="auto"/>
        <w:jc w:val="both"/>
      </w:pPr>
      <w:r w:rsidRPr="005B3AF3">
        <w:t>With the Board Decision dated 15.02.2018 and numbered 7689-1 published in the Official Gazette dated 23.02.2018 and numbered 30341, the Kurul Board Decision on the Amendment of the Board Decision dated 08.03.2012 and numbered 3727 on the Application for License in the Liquefied Petroleum Gas (LPG) Market ”was adopt</w:t>
      </w:r>
      <w:r>
        <w:t xml:space="preserve">ed, </w:t>
      </w:r>
      <w:r w:rsidRPr="005B3AF3">
        <w:t>amended and published. The amendment was issued to determine the information and documents required for license applications in the LPG market.</w:t>
      </w:r>
    </w:p>
    <w:p w:rsidR="00FE7FEB" w:rsidRDefault="00FE7FEB" w:rsidP="00E37E90">
      <w:pPr>
        <w:pStyle w:val="ListeParagraf"/>
        <w:numPr>
          <w:ilvl w:val="0"/>
          <w:numId w:val="31"/>
        </w:numPr>
        <w:spacing w:after="200" w:line="276" w:lineRule="auto"/>
        <w:jc w:val="both"/>
      </w:pPr>
      <w:r w:rsidRPr="005B3AF3">
        <w:t>With the decision of the Board dated 15.02.2018 and numbered 7689-2 published in the Official Gazette dated 23.02.2018 and numbered 30341, in the liquefied petroleum gas (LPG) market, the information and documents to be sought for applications for extension and termination of license amendments shall be dated 04.04.2012 and 3763-3. The Board's decision on the amendment of the board decision was accepted and changed and published and entered into force.</w:t>
      </w:r>
    </w:p>
    <w:p w:rsidR="00FE7FEB" w:rsidRDefault="00FE7FEB" w:rsidP="00E37E90">
      <w:pPr>
        <w:pStyle w:val="ListeParagraf"/>
        <w:numPr>
          <w:ilvl w:val="0"/>
          <w:numId w:val="31"/>
        </w:numPr>
        <w:spacing w:after="200" w:line="276" w:lineRule="auto"/>
        <w:jc w:val="both"/>
      </w:pPr>
      <w:r w:rsidRPr="005B3AF3">
        <w:t>The Board Decision dated 06/09/2018 and numbered 8044 published in the Official Gazette dated 08.09.2018 and numbered 30529 and the Board Decision on the Amendment of the Board Decision regarding the License Application in the Liquefied Petroleum Gas (LPG) Market dated 08.03.2012 and numbered 3727 were adopted. The amendment is related to the period of submission of the trademark registration certificate. The amendment is effective as of the date of publication.</w:t>
      </w:r>
    </w:p>
    <w:p w:rsidR="00FE7FEB" w:rsidRDefault="00FE7FEB" w:rsidP="00E37E90">
      <w:pPr>
        <w:pStyle w:val="ListeParagraf"/>
        <w:numPr>
          <w:ilvl w:val="0"/>
          <w:numId w:val="31"/>
        </w:numPr>
        <w:spacing w:after="200" w:line="276" w:lineRule="auto"/>
        <w:jc w:val="both"/>
      </w:pPr>
      <w:r w:rsidRPr="00F87971">
        <w:t>With the Board Decision dated 06.09.2018 and numbered 8045 published in the Official Gazette dated 08.09.2018 and numbered 30529, the Board on Information and Documents to be sought in the Liquefied Petroleum Gas (LPG) Market dated 04.04.2012 and numbered 3763-3 for Applications for Extension and Termination of Licenses The Board Decision on Amendment of the Decision was adopted.</w:t>
      </w:r>
    </w:p>
    <w:p w:rsidR="00FE7FEB" w:rsidRDefault="00FE7FEB" w:rsidP="00E37E90">
      <w:pPr>
        <w:pStyle w:val="ListeParagraf"/>
        <w:numPr>
          <w:ilvl w:val="0"/>
          <w:numId w:val="30"/>
        </w:numPr>
        <w:spacing w:after="200" w:line="276" w:lineRule="auto"/>
        <w:jc w:val="both"/>
      </w:pPr>
      <w:r w:rsidRPr="00CB0D39">
        <w:t>Within the scope of the license transactions carried out in the LPG market pursuant to the Law on the Amendment of the Liquefied Petroleum Gases (LPG) Law No. 5307 and the Electricity Market Law and the related legislation, with the Board Decision dated 28.11.2018 and numbered 8209, published in the Official Gazette dated 30.11.2018 and numbered 30611,5307 numbered Liquefied Petroleum Gas (LPG) Market Law and Electricity Market Law Amendment of the license applications to be made within the scope of the law, license modification, extension and termination applications from 01.01.2019 to be received only in electronic environment,</w:t>
      </w:r>
    </w:p>
    <w:p w:rsidR="00FE7FEB" w:rsidRDefault="00FE7FEB" w:rsidP="00E37E90">
      <w:pPr>
        <w:pStyle w:val="ListeParagraf"/>
        <w:numPr>
          <w:ilvl w:val="0"/>
          <w:numId w:val="29"/>
        </w:numPr>
        <w:spacing w:after="200" w:line="276" w:lineRule="auto"/>
        <w:jc w:val="both"/>
      </w:pPr>
      <w:r w:rsidRPr="00CB0D39">
        <w:t>License application procedures of LPG autogas dealers are carried out by the LPG distributor license holders who have signed contracts with these dealers,</w:t>
      </w:r>
    </w:p>
    <w:p w:rsidR="00FE7FEB" w:rsidRDefault="00FE7FEB" w:rsidP="00E37E90">
      <w:pPr>
        <w:pStyle w:val="ListeParagraf"/>
        <w:numPr>
          <w:ilvl w:val="0"/>
          <w:numId w:val="29"/>
        </w:numPr>
        <w:spacing w:after="200" w:line="276" w:lineRule="auto"/>
        <w:jc w:val="both"/>
      </w:pPr>
      <w:r w:rsidRPr="00CB0D39">
        <w:t>License modification and extension of the LPG autogas dealers, unless requested otherwise, by the LPG distributor license holders who have signed contracts with the said dealers,</w:t>
      </w:r>
    </w:p>
    <w:p w:rsidR="00FE7FEB" w:rsidRDefault="00FE7FEB" w:rsidP="00E37E90">
      <w:pPr>
        <w:pStyle w:val="ListeParagraf"/>
        <w:numPr>
          <w:ilvl w:val="0"/>
          <w:numId w:val="29"/>
        </w:numPr>
        <w:spacing w:after="200" w:line="276" w:lineRule="auto"/>
        <w:jc w:val="both"/>
      </w:pPr>
      <w:r w:rsidRPr="00CB0D39">
        <w:t>After the date 01.01.2019, the LPG extension license holders' contract extension with the auto gas dealership license holders, the expiry of the contract and the termination of the contract shall be made in electronic environment only and the written statements made to the Authority shall be returned to the relevant LPG distributor license holder without processing</w:t>
      </w:r>
      <w:r>
        <w:t>,</w:t>
      </w:r>
    </w:p>
    <w:p w:rsidR="00FE7FEB" w:rsidRDefault="00FE7FEB" w:rsidP="00E37E90">
      <w:pPr>
        <w:pStyle w:val="ListeParagraf"/>
        <w:numPr>
          <w:ilvl w:val="0"/>
          <w:numId w:val="29"/>
        </w:numPr>
        <w:spacing w:after="200" w:line="276" w:lineRule="auto"/>
        <w:jc w:val="both"/>
      </w:pPr>
      <w:r w:rsidRPr="00CB0D39">
        <w:t>The written applications to be made after 01.01.2019 shall be returned to the applicant without being examined, except for the license termination applications of LPG autogas dealership license holders,</w:t>
      </w:r>
    </w:p>
    <w:p w:rsidR="00FE7FEB" w:rsidRDefault="00FE7FEB" w:rsidP="00E37E90">
      <w:pPr>
        <w:pStyle w:val="ListeParagraf"/>
        <w:numPr>
          <w:ilvl w:val="0"/>
          <w:numId w:val="29"/>
        </w:numPr>
        <w:spacing w:after="200" w:line="276" w:lineRule="auto"/>
        <w:jc w:val="both"/>
      </w:pPr>
      <w:r w:rsidRPr="00CB0D39">
        <w:t>Changes in the contact address, partnership structure and changes in the person authorized to represent and sign the company, submission of documents not processed in the license etc. declarations shall be made only in electronic environment as soon as the Authority's document system becomes eligible for electronic transactions,</w:t>
      </w:r>
    </w:p>
    <w:p w:rsidR="00FE7FEB" w:rsidRDefault="00FE7FEB" w:rsidP="00E37E90">
      <w:pPr>
        <w:pStyle w:val="ListeParagraf"/>
        <w:numPr>
          <w:ilvl w:val="0"/>
          <w:numId w:val="29"/>
        </w:numPr>
        <w:spacing w:after="200" w:line="276" w:lineRule="auto"/>
        <w:jc w:val="both"/>
      </w:pPr>
      <w:r w:rsidRPr="00F81EBC">
        <w:t xml:space="preserve">Except for LPG autogas dealership license holders, it is decided that the license holders shall designate at least one license processing authority for each license in force and notify </w:t>
      </w:r>
      <w:r>
        <w:t xml:space="preserve">EMRA </w:t>
      </w:r>
      <w:r w:rsidRPr="00F81EBC">
        <w:t xml:space="preserve">in accordance with the explanations on the website of </w:t>
      </w:r>
      <w:r>
        <w:t xml:space="preserve">EMRA </w:t>
      </w:r>
      <w:r w:rsidRPr="00F81EBC">
        <w:t xml:space="preserve">and notify </w:t>
      </w:r>
      <w:r>
        <w:t xml:space="preserve">EMRA </w:t>
      </w:r>
      <w:r w:rsidRPr="00F81EBC">
        <w:t>in the same manner in case of any change in such persons.</w:t>
      </w:r>
    </w:p>
    <w:p w:rsidR="00FE7FEB" w:rsidRDefault="00FE7FEB" w:rsidP="00E37E90">
      <w:pPr>
        <w:pStyle w:val="ListeParagraf"/>
        <w:numPr>
          <w:ilvl w:val="0"/>
          <w:numId w:val="28"/>
        </w:numPr>
        <w:spacing w:after="200" w:line="276" w:lineRule="auto"/>
        <w:jc w:val="both"/>
      </w:pPr>
      <w:r w:rsidRPr="000F4563">
        <w:t>According to the Board Decision dated 06.12.2018 and numbered 8226 published in the Official Gazette dated 09.12.2018 and numbered 30620, LPG Market in 2019 pursuant to Article 16 of the Petroleum Market Law No. 5015 and Article 40 of the Liquefied Petroleum Gas (LPG) Market Regulation</w:t>
      </w:r>
      <w:r>
        <w:t>, it has been decided to determine the income share price for 2019 in the LPG market as 8,83 TL/Tonnes.</w:t>
      </w:r>
    </w:p>
    <w:p w:rsidR="00FE7FEB" w:rsidRDefault="00FE7FEB" w:rsidP="00E37E90">
      <w:pPr>
        <w:pStyle w:val="ListeParagraf"/>
        <w:numPr>
          <w:ilvl w:val="0"/>
          <w:numId w:val="28"/>
        </w:numPr>
        <w:spacing w:after="200" w:line="276" w:lineRule="auto"/>
        <w:jc w:val="both"/>
      </w:pPr>
      <w:r w:rsidRPr="00F338BF">
        <w:t>With the Board Decision dated 13.12.2018 and numbered 8248, published in the Official Gazette dated 15.12.2018 and numbered 30626, within the scope of the license transactions carried out in the LPG market pursuant to the Law on the Amendment of the Liquefied Petroleum Gases (LPG) Law no. 5307 and the Electricity Market Law;</w:t>
      </w:r>
    </w:p>
    <w:p w:rsidR="00FE7FEB" w:rsidRDefault="00FE7FEB" w:rsidP="00E37E90">
      <w:pPr>
        <w:pStyle w:val="ListeParagraf"/>
        <w:numPr>
          <w:ilvl w:val="0"/>
          <w:numId w:val="27"/>
        </w:numPr>
        <w:spacing w:after="200" w:line="276" w:lineRule="auto"/>
        <w:jc w:val="both"/>
      </w:pPr>
      <w:r w:rsidRPr="00F338BF">
        <w:t>The amendments stated in the Board Decision Regarding Information and Documents to be sought in the applications for License Amendment and Extension in the Liquefied Petroleum Gas (LPG) Market dated 04.04.2012 and numbered 3763/3;</w:t>
      </w:r>
    </w:p>
    <w:p w:rsidR="00FE7FEB" w:rsidRDefault="00FE7FEB" w:rsidP="00FE7FEB">
      <w:pPr>
        <w:ind w:left="1416"/>
        <w:jc w:val="both"/>
      </w:pPr>
      <w:r>
        <w:t>a) It has been determin</w:t>
      </w:r>
      <w:r w:rsidR="00A72714">
        <w:t xml:space="preserve">ed that it has not fulfilled </w:t>
      </w:r>
      <w:r>
        <w:t>its application obligations regarding the title, address (including island, sheet and parcel information) or opening of workplace and working license after the term of Article 18 of the Liquefied Petroleum Gas (LPG) Market License Regulation;</w:t>
      </w:r>
    </w:p>
    <w:p w:rsidR="00FE7FEB" w:rsidRDefault="00FE7FEB" w:rsidP="00FE7FEB">
      <w:pPr>
        <w:ind w:left="708" w:firstLine="708"/>
        <w:jc w:val="both"/>
      </w:pPr>
      <w:r>
        <w:t>- LPG Autogas Dealership Licenses,</w:t>
      </w:r>
    </w:p>
    <w:p w:rsidR="00FE7FEB" w:rsidRDefault="00FE7FEB" w:rsidP="00FE7FEB">
      <w:pPr>
        <w:ind w:left="708" w:firstLine="708"/>
        <w:jc w:val="both"/>
      </w:pPr>
      <w:r>
        <w:t>- LPG Transportation License Holders,</w:t>
      </w:r>
    </w:p>
    <w:p w:rsidR="00FE7FEB" w:rsidRDefault="00FE7FEB" w:rsidP="00FE7FEB">
      <w:pPr>
        <w:ind w:left="708" w:firstLine="708"/>
        <w:jc w:val="both"/>
      </w:pPr>
      <w:r>
        <w:t>- LPG cylinder manufacturing license holders,</w:t>
      </w:r>
    </w:p>
    <w:p w:rsidR="00FE7FEB" w:rsidRDefault="00FE7FEB" w:rsidP="00FE7FEB">
      <w:pPr>
        <w:ind w:left="708" w:firstLine="708"/>
        <w:jc w:val="both"/>
      </w:pPr>
      <w:r>
        <w:t>- LPG Cylinder Inspection, Repair and Maintenance Licensees,</w:t>
      </w:r>
    </w:p>
    <w:p w:rsidR="00FE7FEB" w:rsidRDefault="00FE7FEB" w:rsidP="00FE7FEB">
      <w:pPr>
        <w:ind w:left="1416"/>
        <w:jc w:val="both"/>
      </w:pPr>
      <w:r>
        <w:t>if they apply for a license modification at a later date than the periods specified in the said Regulation, they shall be deemed to have fulfilled the said modification obligation by paying the license modification fee to the license fee applied in the year in which the request is made,</w:t>
      </w:r>
    </w:p>
    <w:p w:rsidR="00FE7FEB" w:rsidRDefault="00FE7FEB" w:rsidP="00FE7FEB">
      <w:pPr>
        <w:ind w:left="1416"/>
        <w:jc w:val="both"/>
      </w:pPr>
      <w:r>
        <w:t>b) It has been determined that the company has not fulfilled or fulfilled its application obligations related to opening and working license and address modification due to the change of address (including island, layout and parcel information) after the term of Article 18 of the Liquefied Petroleum Gas (LPG) Market License Regulation;</w:t>
      </w:r>
    </w:p>
    <w:p w:rsidR="00FE7FEB" w:rsidRDefault="00FE7FEB" w:rsidP="00FE7FEB">
      <w:pPr>
        <w:ind w:left="708" w:firstLine="708"/>
        <w:jc w:val="both"/>
      </w:pPr>
      <w:r>
        <w:t>- LPG Distributor License Holders,</w:t>
      </w:r>
    </w:p>
    <w:p w:rsidR="00FE7FEB" w:rsidRDefault="00FE7FEB" w:rsidP="00FE7FEB">
      <w:pPr>
        <w:ind w:left="708" w:firstLine="708"/>
        <w:jc w:val="both"/>
      </w:pPr>
      <w:r>
        <w:t>- LPG Storage License Holders,</w:t>
      </w:r>
    </w:p>
    <w:p w:rsidR="00FE7FEB" w:rsidRDefault="00FE7FEB" w:rsidP="00FE7FEB">
      <w:pPr>
        <w:ind w:left="1416"/>
        <w:jc w:val="both"/>
      </w:pPr>
      <w:r>
        <w:t>if they apply for a license modification at a later date than the periods specified in the said Regulation, they shall be deemed to have fulfilled the obligation of modification by paying 5 times the license modification fee applied in the year in which the application is requested,</w:t>
      </w:r>
    </w:p>
    <w:p w:rsidR="00FE7FEB" w:rsidRDefault="00FE7FEB" w:rsidP="00E37E90">
      <w:pPr>
        <w:pStyle w:val="ListeParagraf"/>
        <w:numPr>
          <w:ilvl w:val="0"/>
          <w:numId w:val="27"/>
        </w:numPr>
        <w:spacing w:after="200" w:line="276" w:lineRule="auto"/>
        <w:jc w:val="both"/>
      </w:pPr>
      <w:r w:rsidRPr="002F51C6">
        <w:t>It was decided to repeal the Board Decision dated 29.12.2016 and numbered 6815-5.</w:t>
      </w:r>
    </w:p>
    <w:p w:rsidR="00FE7FEB" w:rsidRPr="004530BB" w:rsidRDefault="004530BB" w:rsidP="004530BB">
      <w:pPr>
        <w:pStyle w:val="Balk2"/>
      </w:pPr>
      <w:bookmarkStart w:id="62" w:name="_Toc12956315"/>
      <w:r w:rsidRPr="004530BB">
        <w:t>2.5.</w:t>
      </w:r>
      <w:r w:rsidR="00FE7FEB" w:rsidRPr="004530BB">
        <w:t>Other Legislation Activities</w:t>
      </w:r>
      <w:bookmarkEnd w:id="62"/>
    </w:p>
    <w:p w:rsidR="00FE7FEB" w:rsidRDefault="00FE7FEB" w:rsidP="00FE7FEB">
      <w:pPr>
        <w:spacing w:after="120" w:line="240" w:lineRule="auto"/>
        <w:jc w:val="both"/>
      </w:pPr>
      <w:r w:rsidRPr="00AB35EE">
        <w:t>This section includes legislative studies made by the Authority in 201</w:t>
      </w:r>
      <w:r>
        <w:t>8</w:t>
      </w:r>
      <w:r w:rsidRPr="00AB35EE">
        <w:t>, irrespective of sectoral classification mentioned above.</w:t>
      </w:r>
    </w:p>
    <w:p w:rsidR="00FE7FEB" w:rsidRDefault="00FE7FEB" w:rsidP="00FE7FEB">
      <w:pPr>
        <w:spacing w:after="120" w:line="240" w:lineRule="auto"/>
        <w:jc w:val="both"/>
      </w:pPr>
    </w:p>
    <w:p w:rsidR="00FE7FEB" w:rsidRPr="004530BB" w:rsidRDefault="004530BB" w:rsidP="004530BB">
      <w:pPr>
        <w:pStyle w:val="Balk3"/>
      </w:pPr>
      <w:bookmarkStart w:id="63" w:name="_Toc12956316"/>
      <w:r w:rsidRPr="004530BB">
        <w:t>2.5.1.</w:t>
      </w:r>
      <w:r w:rsidR="00FE7FEB" w:rsidRPr="004530BB">
        <w:t>Other Amendments</w:t>
      </w:r>
      <w:bookmarkEnd w:id="63"/>
    </w:p>
    <w:p w:rsidR="00FE7FEB" w:rsidRDefault="00FE7FEB" w:rsidP="00E37E90">
      <w:pPr>
        <w:pStyle w:val="ListeParagraf"/>
        <w:numPr>
          <w:ilvl w:val="0"/>
          <w:numId w:val="25"/>
        </w:numPr>
        <w:spacing w:after="200" w:line="276" w:lineRule="auto"/>
        <w:jc w:val="both"/>
      </w:pPr>
      <w:r w:rsidRPr="00444CD1">
        <w:t>With the Board Decision dated 18.01.2018 and numbered 7651 published in the Official Gazette dated 02.02.2018 and numbered 30320, the Procedures and Principles Regarding the Procurement of Real Estate by the Authority entered into force after being published.</w:t>
      </w:r>
    </w:p>
    <w:p w:rsidR="00FE7FEB" w:rsidRDefault="00FE7FEB" w:rsidP="00E37E90">
      <w:pPr>
        <w:pStyle w:val="ListeParagraf"/>
        <w:numPr>
          <w:ilvl w:val="0"/>
          <w:numId w:val="25"/>
        </w:numPr>
        <w:spacing w:after="200" w:line="276" w:lineRule="auto"/>
        <w:jc w:val="both"/>
      </w:pPr>
      <w:r w:rsidRPr="00444CD1">
        <w:t>Article 168 of the Decree Law on the Amendment of Certain Laws and Decree Laws in order to Comply with the Amendments to the Constitution No. 703 published in the Official Gazette dated 30.073 and repeated on 30473;</w:t>
      </w:r>
    </w:p>
    <w:p w:rsidR="00FE7FEB" w:rsidRDefault="00FE7FEB" w:rsidP="00E37E90">
      <w:pPr>
        <w:pStyle w:val="ListeParagraf"/>
        <w:numPr>
          <w:ilvl w:val="0"/>
          <w:numId w:val="26"/>
        </w:numPr>
        <w:spacing w:after="200" w:line="276" w:lineRule="auto"/>
        <w:jc w:val="both"/>
      </w:pPr>
      <w:r>
        <w:t>In “Energy Market Regulation Board and Board Chairmanship” in the first paragraph of Article 5 come after “about to” “to be appointed by the president among those who have seen at least four years of higher education” was added to the phrase, the second paragraph was repealed, the phrase “Council of Ministers” in the third paragraph was changed to “President”, the fourth paragraph was repealed.</w:t>
      </w:r>
    </w:p>
    <w:p w:rsidR="00FE7FEB" w:rsidRDefault="00FE7FEB" w:rsidP="00E37E90">
      <w:pPr>
        <w:pStyle w:val="ListeParagraf"/>
        <w:numPr>
          <w:ilvl w:val="0"/>
          <w:numId w:val="26"/>
        </w:numPr>
        <w:spacing w:after="200" w:line="276" w:lineRule="auto"/>
        <w:jc w:val="both"/>
      </w:pPr>
      <w:r>
        <w:t>The wording of the “Council of Ministers” in the fifth paragraph of the six article entitled prohibitions and impeachment has been amended in the form of the “President”.</w:t>
      </w:r>
    </w:p>
    <w:p w:rsidR="00FE7FEB" w:rsidRDefault="00FE7FEB" w:rsidP="00E37E90">
      <w:pPr>
        <w:pStyle w:val="ListeParagraf"/>
        <w:numPr>
          <w:ilvl w:val="0"/>
          <w:numId w:val="26"/>
        </w:numPr>
        <w:spacing w:after="200" w:line="276" w:lineRule="auto"/>
        <w:jc w:val="both"/>
      </w:pPr>
      <w:r>
        <w:t>The phrase “the proposal of the institution and the decision of the Council of Ministers “in the third paragraph of the ninth article entitled “Presidential, staff, status of the personnel of the institution, procedure of appointment and personal rights” has been changed as “by the President”.</w:t>
      </w:r>
    </w:p>
    <w:p w:rsidR="00FE7FEB" w:rsidRPr="004530BB" w:rsidRDefault="00FE7FEB" w:rsidP="004530BB">
      <w:pPr>
        <w:pStyle w:val="Balk1"/>
      </w:pPr>
      <w:bookmarkStart w:id="64" w:name="_Toc514251632"/>
      <w:bookmarkStart w:id="65" w:name="_Toc12956317"/>
      <w:r w:rsidRPr="004530BB">
        <w:t>3.</w:t>
      </w:r>
      <w:r w:rsidRPr="004530BB">
        <w:tab/>
        <w:t>LICENSING, CERTIFICATION AND AUTHORIZATION ACTIVITIES</w:t>
      </w:r>
      <w:bookmarkEnd w:id="64"/>
      <w:bookmarkEnd w:id="65"/>
    </w:p>
    <w:p w:rsidR="00FE7FEB" w:rsidRDefault="00FE7FEB" w:rsidP="00FE7FEB">
      <w:pPr>
        <w:spacing w:after="120" w:line="240" w:lineRule="auto"/>
        <w:jc w:val="both"/>
      </w:pPr>
      <w:r w:rsidRPr="00AB35EE">
        <w:t xml:space="preserve">In this section, licensing, certification and authorization activities regarding electricity, natural gas, petroleum and LPG markets are explained.  </w:t>
      </w:r>
    </w:p>
    <w:p w:rsidR="00FE7FEB" w:rsidRDefault="00FE7FEB" w:rsidP="00FE7FEB"/>
    <w:p w:rsidR="00FE7FEB" w:rsidRPr="004530BB" w:rsidRDefault="00FE7FEB" w:rsidP="004530BB">
      <w:pPr>
        <w:pStyle w:val="Balk2"/>
      </w:pPr>
      <w:bookmarkStart w:id="66" w:name="_Toc12956318"/>
      <w:bookmarkStart w:id="67" w:name="_Toc442431255"/>
      <w:bookmarkStart w:id="68" w:name="_Toc514251633"/>
      <w:r w:rsidRPr="004530BB">
        <w:t>3.1.Electricity Market Licensing and Authorization Activities</w:t>
      </w:r>
      <w:bookmarkEnd w:id="66"/>
      <w:r w:rsidRPr="004530BB">
        <w:t xml:space="preserve"> </w:t>
      </w:r>
      <w:bookmarkEnd w:id="67"/>
      <w:bookmarkEnd w:id="68"/>
    </w:p>
    <w:p w:rsidR="00FE7FEB" w:rsidRPr="004530BB" w:rsidRDefault="00FE7FEB" w:rsidP="004530BB">
      <w:pPr>
        <w:pStyle w:val="Balk3"/>
      </w:pPr>
      <w:bookmarkStart w:id="69" w:name="_Toc442431256"/>
      <w:bookmarkStart w:id="70" w:name="_Toc514251634"/>
      <w:bookmarkStart w:id="71" w:name="_Toc12956319"/>
      <w:r w:rsidRPr="004530BB">
        <w:t>3.1.1.</w:t>
      </w:r>
      <w:r w:rsidRPr="004530BB">
        <w:tab/>
        <w:t>Li</w:t>
      </w:r>
      <w:bookmarkEnd w:id="69"/>
      <w:bookmarkEnd w:id="70"/>
      <w:r w:rsidRPr="004530BB">
        <w:t>censing Activities</w:t>
      </w:r>
      <w:bookmarkEnd w:id="71"/>
    </w:p>
    <w:p w:rsidR="00FE7FEB" w:rsidRPr="00AB35EE" w:rsidRDefault="00FE7FEB" w:rsidP="00FE7FEB">
      <w:pPr>
        <w:spacing w:after="120" w:line="240" w:lineRule="auto"/>
        <w:jc w:val="both"/>
      </w:pPr>
      <w:r w:rsidRPr="00AB35EE">
        <w:t>In the first paragraph of the Article 4 of the Electricity Market Law No:6446, the electricity market activities are defined as generation, transmission, distribution, wholesale, retail, market operation, import and export activities, and in the third paragraph of the same article, the legal persons that can operate in the market are defined. . Within this scope, the legal persons willing to operate in the electricity market should get a license from the Authority.  The principles and procedures regarding the licenses to be granted by the Authority are set forth in the Electricity Market License Regulation.</w:t>
      </w:r>
    </w:p>
    <w:p w:rsidR="00FE7FEB" w:rsidRPr="00AB35EE" w:rsidRDefault="00FE7FEB" w:rsidP="00FE7FEB">
      <w:pPr>
        <w:spacing w:after="120" w:line="240" w:lineRule="auto"/>
        <w:jc w:val="both"/>
      </w:pPr>
      <w:r w:rsidRPr="00AB35EE">
        <w:t xml:space="preserve">In the electricity market, except for some derogations, market activities are performed within the scope of licenses granted by the Authority. A seperate license for each market activity and facility is required. License holders are liable to hold seperate accounts and seperate registers for each licensed activity and for each activity whose tariff is subject to regulation and for each region determined with the license of that activity.  </w:t>
      </w:r>
    </w:p>
    <w:p w:rsidR="00FE7FEB" w:rsidRPr="00AB35EE" w:rsidRDefault="00FE7FEB" w:rsidP="00FE7FEB">
      <w:pPr>
        <w:spacing w:after="120" w:line="240" w:lineRule="auto"/>
        <w:jc w:val="both"/>
      </w:pPr>
      <w:r w:rsidRPr="00AB35EE">
        <w:t xml:space="preserve">Licenses can not be transferred however, the shares of the licensee can be transferred. The transfer of the shares of the licensees whose tariffs are subject to regulation is subject to Board approval, the other share transfers are approved by the Electricity Market Department.  In addition, it is obligatory to get Board approval for mergers in case all the assets and liabilities of a license holding legal person are planned to be transferred by a single license holding legal person. </w:t>
      </w:r>
    </w:p>
    <w:p w:rsidR="00FE7FEB" w:rsidRPr="00AB35EE" w:rsidRDefault="00FE7FEB" w:rsidP="00FE7FEB">
      <w:pPr>
        <w:spacing w:after="120" w:line="240" w:lineRule="auto"/>
        <w:jc w:val="both"/>
      </w:pPr>
      <w:r w:rsidRPr="00AB35EE">
        <w:t>In addition, it is obligatory to get Board approval for mergers in case all the assets and liabilities of a license holding legal person are planned to be transferred by a single license holding legal person.</w:t>
      </w:r>
    </w:p>
    <w:p w:rsidR="00FE7FEB" w:rsidRPr="00AB35EE" w:rsidRDefault="00FE7FEB" w:rsidP="00FE7FEB">
      <w:pPr>
        <w:spacing w:after="120" w:line="240" w:lineRule="auto"/>
        <w:jc w:val="both"/>
      </w:pPr>
      <w:r w:rsidRPr="00AB35EE">
        <w:t>Licenses can be granted for up to 49 years with a minimum period of 10 years for transmission and distribution licenses. The licencees are obliged to perform the activities within the scope of the license as per the framework detremined in his license. The license holding legal persons are obliged secure their generation, transmission and distribution facilities with an all assets risk insurance covering the risks of natural disasters, fire and accidents.</w:t>
      </w:r>
    </w:p>
    <w:p w:rsidR="00FE7FEB" w:rsidRPr="00AB35EE" w:rsidRDefault="00FE7FEB" w:rsidP="00FE7FEB">
      <w:pPr>
        <w:spacing w:after="120" w:line="240" w:lineRule="auto"/>
        <w:jc w:val="both"/>
      </w:pPr>
      <w:r w:rsidRPr="00AB35EE">
        <w:t>The license types in the Electricity Market are;  generation license, transmission license, Distribution License, Supply License, OIZ Distribution License, OIZ Genaration License and Market Operation License.</w:t>
      </w:r>
    </w:p>
    <w:p w:rsidR="00FE7FEB" w:rsidRDefault="00FE7FEB" w:rsidP="00FE7FEB"/>
    <w:p w:rsidR="00FE7FEB" w:rsidRPr="00542DD6" w:rsidRDefault="00FE7FEB" w:rsidP="00542DD6">
      <w:pPr>
        <w:pStyle w:val="Balk5"/>
      </w:pPr>
      <w:bookmarkStart w:id="72" w:name="_Toc512874128"/>
      <w:bookmarkStart w:id="73" w:name="_Toc12958471"/>
      <w:r w:rsidRPr="00542DD6">
        <w:rPr>
          <w:rStyle w:val="Gl"/>
          <w:b/>
          <w:bCs w:val="0"/>
        </w:rPr>
        <w:t>Table 3.1: License activities (numbers) in 2018 in the electricity market</w:t>
      </w:r>
      <w:bookmarkEnd w:id="72"/>
      <w:bookmarkEnd w:id="73"/>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88"/>
        <w:gridCol w:w="1185"/>
        <w:gridCol w:w="1114"/>
        <w:gridCol w:w="1203"/>
        <w:gridCol w:w="1114"/>
        <w:gridCol w:w="1114"/>
        <w:gridCol w:w="1114"/>
        <w:gridCol w:w="1114"/>
      </w:tblGrid>
      <w:tr w:rsidR="00FE7FEB" w:rsidTr="00D816E6">
        <w:trPr>
          <w:trHeight w:val="78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val="tr-TR" w:eastAsia="tr-TR"/>
              </w:rPr>
            </w:pPr>
            <w:r w:rsidRPr="00AB35EE">
              <w:rPr>
                <w:rFonts w:eastAsia="Times New Roman" w:cs="Arial"/>
                <w:b/>
                <w:bCs/>
                <w:color w:val="FFFFFF"/>
                <w:lang w:eastAsia="tr-TR"/>
              </w:rPr>
              <w:t>License Type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AB35EE">
              <w:rPr>
                <w:rFonts w:eastAsia="Times New Roman" w:cs="Arial"/>
                <w:b/>
                <w:bCs/>
                <w:color w:val="FFFFFF"/>
                <w:lang w:eastAsia="tr-TR"/>
              </w:rPr>
              <w:t>License Application</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AB35EE">
              <w:rPr>
                <w:rFonts w:eastAsia="Times New Roman" w:cs="Arial"/>
                <w:b/>
                <w:bCs/>
                <w:color w:val="FFFFFF"/>
                <w:lang w:eastAsia="tr-TR"/>
              </w:rPr>
              <w:t>Granted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Pr>
                <w:rFonts w:eastAsia="Times New Roman" w:cs="Arial"/>
                <w:b/>
                <w:bCs/>
                <w:color w:val="FFFFFF"/>
                <w:lang w:eastAsia="tr-TR"/>
              </w:rPr>
              <w:t>T</w:t>
            </w:r>
            <w:r w:rsidRPr="00AB35EE">
              <w:rPr>
                <w:rFonts w:eastAsia="Times New Roman" w:cs="Arial"/>
                <w:b/>
                <w:bCs/>
                <w:color w:val="FFFFFF"/>
                <w:lang w:eastAsia="tr-TR"/>
              </w:rPr>
              <w:t>erminated licenses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AB35EE">
              <w:rPr>
                <w:rFonts w:eastAsia="Times New Roman" w:cs="Arial"/>
                <w:b/>
                <w:bCs/>
                <w:color w:val="FFFFFF"/>
                <w:lang w:eastAsia="tr-TR"/>
              </w:rPr>
              <w:t>Cancelled licenses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AB35EE">
              <w:rPr>
                <w:rFonts w:eastAsia="Times New Roman" w:cs="Arial"/>
                <w:b/>
                <w:bCs/>
                <w:color w:val="FFFFFF"/>
                <w:lang w:eastAsia="tr-TR"/>
              </w:rPr>
              <w:t>No of amended licenses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AB35EE">
              <w:rPr>
                <w:rFonts w:eastAsia="Times New Roman" w:cs="Arial"/>
                <w:b/>
                <w:bCs/>
                <w:color w:val="FFFFFF"/>
                <w:lang w:eastAsia="tr-TR"/>
              </w:rPr>
              <w:t>Total</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AB35EE">
              <w:rPr>
                <w:rFonts w:eastAsia="Times New Roman" w:cs="Arial"/>
                <w:b/>
                <w:bCs/>
                <w:color w:val="FFFFFF"/>
                <w:lang w:eastAsia="tr-TR"/>
              </w:rPr>
              <w:t>No of licenses in effect as of the end of the period</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AB35EE">
              <w:rPr>
                <w:rFonts w:eastAsia="Times New Roman" w:cs="Arial"/>
                <w:color w:val="000000"/>
                <w:lang w:eastAsia="tr-TR"/>
              </w:rPr>
              <w:t>Distribution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 </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21</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AB35EE">
              <w:rPr>
                <w:rFonts w:eastAsia="Times New Roman" w:cs="Arial"/>
                <w:color w:val="000000"/>
                <w:lang w:eastAsia="tr-TR"/>
              </w:rPr>
              <w:t>Transmission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 </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AB35EE">
              <w:rPr>
                <w:rFonts w:eastAsia="Times New Roman" w:cs="Arial"/>
                <w:color w:val="000000"/>
                <w:lang w:eastAsia="tr-TR"/>
              </w:rPr>
              <w:t>OIZ Distribution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170</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AB35EE">
              <w:rPr>
                <w:rFonts w:eastAsia="Times New Roman" w:cs="Arial"/>
                <w:color w:val="000000"/>
                <w:lang w:eastAsia="tr-TR"/>
              </w:rPr>
              <w:t>OIZ Generation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AB35EE">
              <w:rPr>
                <w:rFonts w:eastAsia="Times New Roman" w:cs="Arial"/>
                <w:color w:val="000000"/>
                <w:lang w:eastAsia="tr-TR"/>
              </w:rPr>
              <w:t>Generation Pre-license*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116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198</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80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404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343</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AB35EE">
              <w:rPr>
                <w:rFonts w:eastAsia="Times New Roman" w:cs="Arial"/>
                <w:color w:val="000000"/>
                <w:lang w:eastAsia="tr-TR"/>
              </w:rPr>
              <w:t>Market Operation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 </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AB35EE">
              <w:rPr>
                <w:rFonts w:eastAsia="Times New Roman" w:cs="Arial"/>
                <w:color w:val="000000"/>
                <w:lang w:eastAsia="tr-TR"/>
              </w:rPr>
              <w:t>Supply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216</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AB35EE">
              <w:rPr>
                <w:rFonts w:eastAsia="Times New Roman" w:cs="Arial"/>
                <w:color w:val="000000"/>
                <w:lang w:eastAsia="tr-TR"/>
              </w:rPr>
              <w:t>Generation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96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105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304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1.587</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Total</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224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316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143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8</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64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755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2.342</w:t>
            </w:r>
          </w:p>
        </w:tc>
      </w:tr>
    </w:tbl>
    <w:p w:rsidR="00FE7FEB" w:rsidRDefault="00FE7FEB" w:rsidP="00FE7FEB"/>
    <w:p w:rsidR="00FE7FEB" w:rsidRPr="00822B0A" w:rsidRDefault="00FE7FEB" w:rsidP="00FE7FEB">
      <w:pPr>
        <w:spacing w:after="0" w:line="240" w:lineRule="auto"/>
        <w:jc w:val="both"/>
        <w:rPr>
          <w:sz w:val="20"/>
          <w:szCs w:val="20"/>
        </w:rPr>
      </w:pPr>
      <w:r w:rsidRPr="00822B0A">
        <w:rPr>
          <w:sz w:val="20"/>
          <w:szCs w:val="20"/>
        </w:rPr>
        <w:t>*It is the permission given by the Authority to the legal person applied for generation license for a limited duration to get the permission, approval, etc.</w:t>
      </w:r>
      <w:r w:rsidRPr="00822B0A">
        <w:t xml:space="preserve"> </w:t>
      </w:r>
      <w:r w:rsidRPr="00822B0A">
        <w:rPr>
          <w:sz w:val="20"/>
          <w:szCs w:val="20"/>
        </w:rPr>
        <w:t xml:space="preserve">stipulated by the legislation to start the generation facility investment and to get the possession or usufruct right of the field where the facility will be established.  </w:t>
      </w:r>
    </w:p>
    <w:p w:rsidR="00FE7FEB" w:rsidRPr="00822B0A" w:rsidRDefault="00FE7FEB" w:rsidP="00FE7FEB">
      <w:pPr>
        <w:spacing w:after="0"/>
        <w:jc w:val="both"/>
      </w:pPr>
    </w:p>
    <w:p w:rsidR="00FE7FEB" w:rsidRPr="00822B0A" w:rsidRDefault="00FE7FEB" w:rsidP="00FE7FEB">
      <w:pPr>
        <w:spacing w:after="120" w:line="240" w:lineRule="auto"/>
        <w:jc w:val="both"/>
      </w:pPr>
      <w:r w:rsidRPr="00822B0A">
        <w:t>License activities of the Authority in 201</w:t>
      </w:r>
      <w:r>
        <w:t>8</w:t>
      </w:r>
      <w:r w:rsidRPr="00822B0A">
        <w:t xml:space="preserve"> within the scope of generation activity and the breakdown of licensed generation capacity as per the type of resource/fuel and installed capacity is shown in the Table 3.2 hereunder. </w:t>
      </w:r>
    </w:p>
    <w:p w:rsidR="00FE7FEB" w:rsidRDefault="00FE7FEB" w:rsidP="00FE7FEB"/>
    <w:p w:rsidR="00FE7FEB" w:rsidRPr="00542DD6" w:rsidRDefault="00FE7FEB" w:rsidP="00542DD6">
      <w:pPr>
        <w:pStyle w:val="Balk5"/>
      </w:pPr>
      <w:bookmarkStart w:id="74" w:name="_Toc416447578"/>
      <w:bookmarkStart w:id="75" w:name="_Toc442441731"/>
      <w:bookmarkStart w:id="76" w:name="_Toc512874129"/>
      <w:bookmarkStart w:id="77" w:name="_Toc12958472"/>
      <w:r w:rsidRPr="00542DD6">
        <w:rPr>
          <w:rStyle w:val="Gl"/>
          <w:b/>
          <w:bCs w:val="0"/>
        </w:rPr>
        <w:t xml:space="preserve">Table 3.2: License activities of the Authority in 2017 within the scope of generation activity in the electricity market </w:t>
      </w:r>
      <w:bookmarkStart w:id="78" w:name="_Toc416447579"/>
      <w:bookmarkEnd w:id="74"/>
      <w:r w:rsidRPr="00542DD6">
        <w:rPr>
          <w:rStyle w:val="Gl"/>
          <w:b/>
          <w:bCs w:val="0"/>
        </w:rPr>
        <w:t>(MWe)</w:t>
      </w:r>
      <w:bookmarkEnd w:id="75"/>
      <w:bookmarkEnd w:id="76"/>
      <w:bookmarkEnd w:id="77"/>
      <w:bookmarkEnd w:id="78"/>
    </w:p>
    <w:tbl>
      <w:tblPr>
        <w:tblW w:w="5000" w:type="pct"/>
        <w:tblCellMar>
          <w:left w:w="70" w:type="dxa"/>
          <w:right w:w="70" w:type="dxa"/>
        </w:tblCellMar>
        <w:tblLook w:val="04A0" w:firstRow="1" w:lastRow="0" w:firstColumn="1" w:lastColumn="0" w:noHBand="0" w:noVBand="1"/>
      </w:tblPr>
      <w:tblGrid>
        <w:gridCol w:w="1190"/>
        <w:gridCol w:w="1747"/>
        <w:gridCol w:w="1153"/>
        <w:gridCol w:w="1298"/>
        <w:gridCol w:w="1153"/>
        <w:gridCol w:w="1020"/>
        <w:gridCol w:w="1042"/>
        <w:gridCol w:w="943"/>
      </w:tblGrid>
      <w:tr w:rsidR="00FE7FEB" w:rsidTr="00D816E6">
        <w:trPr>
          <w:trHeight w:val="20"/>
          <w:tblHeader/>
        </w:trPr>
        <w:tc>
          <w:tcPr>
            <w:tcW w:w="623" w:type="pct"/>
            <w:tcBorders>
              <w:top w:val="single" w:sz="8" w:space="0" w:color="D9D9D9"/>
              <w:left w:val="single" w:sz="8" w:space="0" w:color="D9D9D9"/>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18"/>
                <w:szCs w:val="18"/>
                <w:lang w:val="tr-TR" w:eastAsia="tr-TR"/>
              </w:rPr>
            </w:pPr>
            <w:r w:rsidRPr="00275F1E">
              <w:rPr>
                <w:rFonts w:eastAsia="Times New Roman" w:cs="Arial"/>
                <w:b/>
                <w:bCs/>
                <w:color w:val="FFFFFF"/>
                <w:sz w:val="20"/>
                <w:lang w:eastAsia="tr-TR"/>
              </w:rPr>
              <w:t>License Type</w:t>
            </w:r>
          </w:p>
        </w:tc>
        <w:tc>
          <w:tcPr>
            <w:tcW w:w="915"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18"/>
                <w:szCs w:val="18"/>
                <w:lang w:eastAsia="tr-TR"/>
              </w:rPr>
            </w:pPr>
            <w:r w:rsidRPr="00275F1E">
              <w:rPr>
                <w:rFonts w:eastAsia="Times New Roman" w:cs="Arial"/>
                <w:b/>
                <w:bCs/>
                <w:color w:val="FFFFFF"/>
                <w:sz w:val="20"/>
                <w:lang w:eastAsia="tr-TR"/>
              </w:rPr>
              <w:t>Resource/Fuel Type</w:t>
            </w:r>
          </w:p>
        </w:tc>
        <w:tc>
          <w:tcPr>
            <w:tcW w:w="60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18"/>
                <w:szCs w:val="18"/>
                <w:lang w:eastAsia="tr-TR"/>
              </w:rPr>
            </w:pPr>
            <w:r w:rsidRPr="00275F1E">
              <w:rPr>
                <w:rFonts w:eastAsia="Times New Roman" w:cs="Arial"/>
                <w:b/>
                <w:bCs/>
                <w:color w:val="FFFFFF"/>
                <w:sz w:val="20"/>
                <w:lang w:eastAsia="tr-TR"/>
              </w:rPr>
              <w:t>License Application</w:t>
            </w:r>
          </w:p>
        </w:tc>
        <w:tc>
          <w:tcPr>
            <w:tcW w:w="680"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18"/>
                <w:szCs w:val="18"/>
                <w:lang w:eastAsia="tr-TR"/>
              </w:rPr>
            </w:pPr>
            <w:r w:rsidRPr="00275F1E">
              <w:rPr>
                <w:rFonts w:eastAsia="Times New Roman" w:cs="Arial"/>
                <w:b/>
                <w:bCs/>
                <w:color w:val="FFFFFF"/>
                <w:sz w:val="20"/>
                <w:lang w:eastAsia="tr-TR"/>
              </w:rPr>
              <w:t>Granted Licenses</w:t>
            </w:r>
          </w:p>
        </w:tc>
        <w:tc>
          <w:tcPr>
            <w:tcW w:w="60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18"/>
                <w:szCs w:val="18"/>
                <w:lang w:eastAsia="tr-TR"/>
              </w:rPr>
            </w:pPr>
            <w:r w:rsidRPr="00275F1E">
              <w:rPr>
                <w:rFonts w:eastAsia="Times New Roman" w:cs="Arial"/>
                <w:b/>
                <w:bCs/>
                <w:color w:val="FFFFFF"/>
                <w:sz w:val="20"/>
                <w:lang w:eastAsia="tr-TR"/>
              </w:rPr>
              <w:t>Terminated Licenses</w:t>
            </w:r>
          </w:p>
        </w:tc>
        <w:tc>
          <w:tcPr>
            <w:tcW w:w="53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18"/>
                <w:szCs w:val="18"/>
                <w:lang w:eastAsia="tr-TR"/>
              </w:rPr>
            </w:pPr>
            <w:r w:rsidRPr="00275F1E">
              <w:rPr>
                <w:rFonts w:eastAsia="Times New Roman" w:cs="Arial"/>
                <w:b/>
                <w:bCs/>
                <w:color w:val="FFFFFF"/>
                <w:sz w:val="20"/>
                <w:lang w:eastAsia="tr-TR"/>
              </w:rPr>
              <w:t>Cancelled Licenses</w:t>
            </w:r>
          </w:p>
        </w:tc>
        <w:tc>
          <w:tcPr>
            <w:tcW w:w="546"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18"/>
                <w:szCs w:val="18"/>
                <w:lang w:eastAsia="tr-TR"/>
              </w:rPr>
            </w:pPr>
            <w:r w:rsidRPr="00275F1E">
              <w:rPr>
                <w:rFonts w:eastAsia="Times New Roman" w:cs="Arial"/>
                <w:b/>
                <w:bCs/>
                <w:color w:val="FFFFFF"/>
                <w:sz w:val="20"/>
                <w:lang w:eastAsia="tr-TR"/>
              </w:rPr>
              <w:t>Installed Capacity of the licenses in effect</w:t>
            </w:r>
          </w:p>
        </w:tc>
        <w:tc>
          <w:tcPr>
            <w:tcW w:w="496"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18"/>
                <w:szCs w:val="18"/>
                <w:lang w:eastAsia="tr-TR"/>
              </w:rPr>
            </w:pPr>
            <w:r w:rsidRPr="00275F1E">
              <w:rPr>
                <w:rFonts w:eastAsia="Times New Roman" w:cs="Arial"/>
                <w:b/>
                <w:bCs/>
                <w:color w:val="FFFFFF"/>
                <w:sz w:val="20"/>
                <w:lang w:eastAsia="tr-TR"/>
              </w:rPr>
              <w:t>Number of licenses in effect</w:t>
            </w:r>
          </w:p>
        </w:tc>
      </w:tr>
      <w:tr w:rsidR="00FE7FEB" w:rsidTr="00D816E6">
        <w:trPr>
          <w:trHeight w:val="20"/>
        </w:trPr>
        <w:tc>
          <w:tcPr>
            <w:tcW w:w="623" w:type="pct"/>
            <w:vMerge w:val="restart"/>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OIZ Generation License</w:t>
            </w: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Natural Gas</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69,278</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rPr>
                <w:rFonts w:ascii="Arial" w:eastAsia="Times New Roman" w:hAnsi="Arial" w:cs="Arial"/>
                <w:b/>
                <w:bCs/>
                <w:color w:val="000000"/>
                <w:sz w:val="18"/>
                <w:szCs w:val="18"/>
                <w:lang w:eastAsia="tr-TR"/>
              </w:rPr>
            </w:pPr>
            <w:r w:rsidRPr="00AB35EE">
              <w:rPr>
                <w:rFonts w:eastAsia="Times New Roman" w:cs="Arial"/>
                <w:b/>
                <w:bCs/>
                <w:color w:val="000000"/>
                <w:lang w:eastAsia="tr-TR"/>
              </w:rPr>
              <w:t>Total</w:t>
            </w:r>
          </w:p>
        </w:tc>
        <w:tc>
          <w:tcPr>
            <w:tcW w:w="60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w:t>
            </w:r>
          </w:p>
        </w:tc>
        <w:tc>
          <w:tcPr>
            <w:tcW w:w="680"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w:t>
            </w:r>
          </w:p>
        </w:tc>
        <w:tc>
          <w:tcPr>
            <w:tcW w:w="60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w:t>
            </w:r>
          </w:p>
        </w:tc>
        <w:tc>
          <w:tcPr>
            <w:tcW w:w="53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69,278</w:t>
            </w:r>
          </w:p>
        </w:tc>
        <w:tc>
          <w:tcPr>
            <w:tcW w:w="496" w:type="pct"/>
            <w:tcBorders>
              <w:top w:val="nil"/>
              <w:left w:val="nil"/>
              <w:bottom w:val="single" w:sz="8" w:space="0" w:color="D3D3D3"/>
              <w:right w:val="single" w:sz="8" w:space="0" w:color="D3D3D3"/>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2</w:t>
            </w:r>
          </w:p>
        </w:tc>
      </w:tr>
      <w:tr w:rsidR="00FE7FEB" w:rsidTr="00D816E6">
        <w:trPr>
          <w:trHeight w:val="20"/>
        </w:trPr>
        <w:tc>
          <w:tcPr>
            <w:tcW w:w="623" w:type="pct"/>
            <w:vMerge w:val="restart"/>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Pre-license</w:t>
            </w: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Biomass</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403,094</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406,526</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98,94</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495,392</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61</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Natural Gas</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3,56</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14,9</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4,412</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84,728</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Solar</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1.007,84</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89,1</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1.265,99</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20</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Hydroelectric</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566,147</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690,935</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294,719</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4.575,04</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128</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Imported Coal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1540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800</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Geothermal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232,8</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324,9</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162,6</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384,15</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17</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Coal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55</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55</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55</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Diesel fuel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175</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175</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175</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7</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Processed Waste Heat</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9</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Wind</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1.000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2.126,90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227,2</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3.508,61</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99</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Uranium</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Domestic Coal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245</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245</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49,5</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1215</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Total</w:t>
            </w:r>
          </w:p>
        </w:tc>
        <w:tc>
          <w:tcPr>
            <w:tcW w:w="60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2.680,60</w:t>
            </w:r>
          </w:p>
        </w:tc>
        <w:tc>
          <w:tcPr>
            <w:tcW w:w="680"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5.047,00</w:t>
            </w:r>
          </w:p>
        </w:tc>
        <w:tc>
          <w:tcPr>
            <w:tcW w:w="60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2.466,47</w:t>
            </w:r>
          </w:p>
        </w:tc>
        <w:tc>
          <w:tcPr>
            <w:tcW w:w="53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w:t>
            </w:r>
          </w:p>
        </w:tc>
        <w:tc>
          <w:tcPr>
            <w:tcW w:w="546"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12.567,92</w:t>
            </w:r>
          </w:p>
        </w:tc>
        <w:tc>
          <w:tcPr>
            <w:tcW w:w="496"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343</w:t>
            </w:r>
          </w:p>
        </w:tc>
      </w:tr>
      <w:tr w:rsidR="00FE7FEB" w:rsidTr="00D816E6">
        <w:trPr>
          <w:trHeight w:val="20"/>
        </w:trPr>
        <w:tc>
          <w:tcPr>
            <w:tcW w:w="623" w:type="pct"/>
            <w:vMerge w:val="restart"/>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Generation License</w:t>
            </w: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Biomass</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215,246</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215,246</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1,603</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720,77</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123</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Wave</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Other</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5,9</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135,19</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16</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Natural Gas</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1.824,86</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902,122</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151,771</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4,044</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28.584,64</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292</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Fuel-oil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5,9</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5,9</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2.363,18</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22</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Solar</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40,85</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70,75</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122,61</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Hydroelectric</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1.225,58</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1.443,90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1.323,71</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90,101</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32.355,08</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749</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Imported Coal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12668,8</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15</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Geothermal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422,96</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347,96</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1.615,88</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55</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Coal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12,8</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12,8</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2.755,06</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20</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LNG</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10</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LPG</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11</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Diesel fuel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34,864</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Naphta</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10,4</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16,872</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Pyrolitic Oil &amp; Pyrolitic Gas</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Pr="00511B58" w:rsidRDefault="00FE7FEB" w:rsidP="00D816E6">
            <w:pPr>
              <w:spacing w:after="0" w:line="240" w:lineRule="auto"/>
              <w:rPr>
                <w:rFonts w:eastAsia="Times New Roman" w:cstheme="minorHAnsi"/>
                <w:b/>
                <w:bCs/>
                <w:lang w:eastAsia="tr-TR"/>
              </w:rPr>
            </w:pPr>
            <w:r w:rsidRPr="00511B58">
              <w:rPr>
                <w:rFonts w:eastAsia="Times New Roman" w:cstheme="minorHAnsi"/>
                <w:b/>
                <w:bCs/>
                <w:color w:val="000000"/>
                <w:lang w:eastAsia="tr-TR"/>
              </w:rPr>
              <w:t>Prosessed waste heat</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21</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12</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147,125</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14</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Wind</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301,75</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302,95</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21,2</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37</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10.088,00</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240</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Uranium</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4.800</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Domestic Asphaltit</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540</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sidRPr="00AB35EE">
              <w:rPr>
                <w:rFonts w:eastAsia="Times New Roman" w:cs="Arial"/>
                <w:b/>
                <w:bCs/>
                <w:color w:val="000000"/>
                <w:lang w:eastAsia="tr-TR"/>
              </w:rPr>
              <w:t>Domestic Coal</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2.155</w:t>
            </w:r>
          </w:p>
        </w:tc>
        <w:tc>
          <w:tcPr>
            <w:tcW w:w="68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2.155</w:t>
            </w:r>
          </w:p>
        </w:tc>
        <w:tc>
          <w:tcPr>
            <w:tcW w:w="60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1.355</w:t>
            </w:r>
          </w:p>
        </w:tc>
        <w:tc>
          <w:tcPr>
            <w:tcW w:w="53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0</w:t>
            </w:r>
          </w:p>
        </w:tc>
        <w:tc>
          <w:tcPr>
            <w:tcW w:w="54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10.628,79</w:t>
            </w:r>
          </w:p>
        </w:tc>
        <w:tc>
          <w:tcPr>
            <w:tcW w:w="49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18"/>
                <w:szCs w:val="18"/>
                <w:lang w:eastAsia="tr-TR"/>
              </w:rPr>
            </w:pPr>
            <w:r>
              <w:rPr>
                <w:rFonts w:ascii="Arial" w:eastAsia="Times New Roman" w:hAnsi="Arial" w:cs="Arial"/>
                <w:sz w:val="18"/>
                <w:szCs w:val="18"/>
                <w:lang w:eastAsia="tr-TR"/>
              </w:rPr>
              <w:t>21</w:t>
            </w:r>
          </w:p>
        </w:tc>
      </w:tr>
      <w:tr w:rsidR="00FE7FEB" w:rsidTr="00D816E6">
        <w:trPr>
          <w:trHeight w:val="20"/>
        </w:trPr>
        <w:tc>
          <w:tcPr>
            <w:tcW w:w="0" w:type="auto"/>
            <w:vMerge/>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rPr>
                <w:rFonts w:ascii="Arial" w:eastAsia="Times New Roman" w:hAnsi="Arial" w:cs="Arial"/>
                <w:b/>
                <w:bCs/>
                <w:sz w:val="20"/>
                <w:szCs w:val="20"/>
                <w:lang w:eastAsia="tr-TR"/>
              </w:rPr>
            </w:pPr>
          </w:p>
        </w:tc>
        <w:tc>
          <w:tcPr>
            <w:tcW w:w="915"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Total</w:t>
            </w:r>
          </w:p>
        </w:tc>
        <w:tc>
          <w:tcPr>
            <w:tcW w:w="60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6.225,95</w:t>
            </w:r>
          </w:p>
        </w:tc>
        <w:tc>
          <w:tcPr>
            <w:tcW w:w="680"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5.468,63</w:t>
            </w:r>
          </w:p>
        </w:tc>
        <w:tc>
          <w:tcPr>
            <w:tcW w:w="60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2.869,58</w:t>
            </w:r>
          </w:p>
        </w:tc>
        <w:tc>
          <w:tcPr>
            <w:tcW w:w="53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131,145</w:t>
            </w:r>
          </w:p>
        </w:tc>
        <w:tc>
          <w:tcPr>
            <w:tcW w:w="546"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107.597,87</w:t>
            </w:r>
          </w:p>
        </w:tc>
        <w:tc>
          <w:tcPr>
            <w:tcW w:w="496"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1.588</w:t>
            </w:r>
          </w:p>
        </w:tc>
      </w:tr>
      <w:tr w:rsidR="00FE7FEB" w:rsidTr="00D816E6">
        <w:trPr>
          <w:trHeight w:val="20"/>
        </w:trPr>
        <w:tc>
          <w:tcPr>
            <w:tcW w:w="623" w:type="pct"/>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 </w:t>
            </w:r>
          </w:p>
        </w:tc>
        <w:tc>
          <w:tcPr>
            <w:tcW w:w="915"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Total</w:t>
            </w:r>
          </w:p>
        </w:tc>
        <w:tc>
          <w:tcPr>
            <w:tcW w:w="60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8.906,55</w:t>
            </w:r>
          </w:p>
        </w:tc>
        <w:tc>
          <w:tcPr>
            <w:tcW w:w="680"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10.515,63</w:t>
            </w:r>
          </w:p>
        </w:tc>
        <w:tc>
          <w:tcPr>
            <w:tcW w:w="60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5.336,05</w:t>
            </w:r>
          </w:p>
        </w:tc>
        <w:tc>
          <w:tcPr>
            <w:tcW w:w="534"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131,145</w:t>
            </w:r>
          </w:p>
        </w:tc>
        <w:tc>
          <w:tcPr>
            <w:tcW w:w="546"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120.165,79</w:t>
            </w:r>
          </w:p>
        </w:tc>
        <w:tc>
          <w:tcPr>
            <w:tcW w:w="496" w:type="pct"/>
            <w:tcBorders>
              <w:top w:val="nil"/>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1.933</w:t>
            </w:r>
          </w:p>
        </w:tc>
      </w:tr>
    </w:tbl>
    <w:p w:rsidR="00FE7FEB" w:rsidRDefault="00FE7FEB" w:rsidP="00FE7FEB"/>
    <w:p w:rsidR="00FE7FEB" w:rsidRPr="004530BB" w:rsidRDefault="004530BB" w:rsidP="004530BB">
      <w:pPr>
        <w:pStyle w:val="Balk3"/>
      </w:pPr>
      <w:bookmarkStart w:id="79" w:name="_Toc12956320"/>
      <w:r w:rsidRPr="004530BB">
        <w:t>3.2.1.</w:t>
      </w:r>
      <w:r w:rsidR="00FE7FEB" w:rsidRPr="004530BB">
        <w:t>Import and Export Permits</w:t>
      </w:r>
      <w:bookmarkEnd w:id="79"/>
    </w:p>
    <w:p w:rsidR="00FE7FEB" w:rsidRPr="00822B0A" w:rsidRDefault="00FE7FEB" w:rsidP="00FE7FEB">
      <w:pPr>
        <w:tabs>
          <w:tab w:val="left" w:pos="284"/>
          <w:tab w:val="left" w:pos="567"/>
          <w:tab w:val="left" w:pos="709"/>
          <w:tab w:val="left" w:pos="851"/>
        </w:tabs>
        <w:spacing w:after="120" w:line="240" w:lineRule="auto"/>
        <w:contextualSpacing/>
        <w:jc w:val="both"/>
        <w:rPr>
          <w:rFonts w:eastAsia="Times New Roman"/>
          <w:lang w:eastAsia="tr-TR"/>
        </w:rPr>
      </w:pPr>
      <w:r w:rsidRPr="00822B0A">
        <w:rPr>
          <w:rFonts w:eastAsia="Times New Roman"/>
          <w:lang w:eastAsia="tr-TR"/>
        </w:rPr>
        <w:t xml:space="preserve">Legal persons holding supply licenses can engage in import and/or export; legal persons holding generation license can engage in export activities. Within that scope; </w:t>
      </w:r>
    </w:p>
    <w:p w:rsidR="00FE7FEB" w:rsidRPr="00822B0A" w:rsidRDefault="00FE7FEB" w:rsidP="00E37E90">
      <w:pPr>
        <w:pStyle w:val="ListeParagraf"/>
        <w:numPr>
          <w:ilvl w:val="0"/>
          <w:numId w:val="24"/>
        </w:numPr>
        <w:tabs>
          <w:tab w:val="left" w:pos="284"/>
          <w:tab w:val="left" w:pos="709"/>
          <w:tab w:val="left" w:pos="851"/>
        </w:tabs>
        <w:spacing w:after="120" w:line="240" w:lineRule="auto"/>
        <w:jc w:val="both"/>
      </w:pPr>
      <w:r w:rsidRPr="00822B0A">
        <w:t xml:space="preserve">In line with the provisions of the Law No:6490 on Approval of the Ratification on Cross-border Electricity Trade between the Republic of Turkey and Geaorgia through Meskhetian-Borçka Interconnection Line” published in te Official Gazette dated 11/06/2013 and numbered 28674 and paragraph (b) of Art.6 of “Turkey-Georgia Cross-border Electricity Trade Agreement” titled “ Available Capacity and Allocation of Capacity” which stipulates that “ In any case, the company to be allocated the available capacity shall be determined by the exporter company”, and as per the provision of the Interconnection Operation Agreement signed between TEİAŞ General Directorate and Georgian Electricity Company (GSE) dated 19/09/2013 and gained effectiveness with the decision of TEİAŞ Board of Directors dated 11/09/2013 and numbered 31-429,  stipulating that “the exporter party shall make the capacity allocation” in the 4th Art.; the license modifications on electricity import from Meskhetian-Borçka transmission line by the method of asynchroneous parallel operation are made within that scope. </w:t>
      </w:r>
    </w:p>
    <w:p w:rsidR="00FE7FEB" w:rsidRPr="00822B0A" w:rsidRDefault="00FE7FEB" w:rsidP="00E37E90">
      <w:pPr>
        <w:pStyle w:val="ListeParagraf"/>
        <w:numPr>
          <w:ilvl w:val="0"/>
          <w:numId w:val="24"/>
        </w:numPr>
        <w:spacing w:after="120" w:line="240" w:lineRule="auto"/>
        <w:jc w:val="both"/>
      </w:pPr>
      <w:r w:rsidRPr="00822B0A">
        <w:t>In addition, as a result of the synchronous parallel connection of Turkey's Electricity systemwith ENTSO-E Continental Europe Synchronous Area system started on 18/09/2010, permisison was given for elctricity exchange with limited capacity allocation among Bulgaria, Greece and Turkey between Turkish electricity system and ENTSO-E European continental synchronized region, in line with the ENTSO-E practices and the rules of the European Union.  In this context, the capacity allocations that will form the basis for the trade with the ENTSO-E region are realized in two ways. First, the participants in the tender held within the scope of Turkey-Greece line SEECAO and capacity demanding participants bid in this tender. The amendment on related Regulation was made on 28/12/2014 and the rules of procurement to be implemented by CAO were approved by the Board Decision of 08/01/2015. Turkey-Bulgaria interconection line capacity allocation is being made by the Turkish and Bulgarian transmission system operators as per the principles and procedures approved by the Regulation. The current information on the line capacity allocation is published at https://tcat.teias.gov.tr/. As of 2017, the permit implementation continues.</w:t>
      </w:r>
    </w:p>
    <w:p w:rsidR="00FE7FEB" w:rsidRDefault="00FE7FEB" w:rsidP="00FE7FEB"/>
    <w:p w:rsidR="00FE7FEB" w:rsidRPr="004530BB" w:rsidRDefault="00FE7FEB" w:rsidP="004530BB">
      <w:pPr>
        <w:pStyle w:val="Balk2"/>
      </w:pPr>
      <w:bookmarkStart w:id="80" w:name="_Toc442431258"/>
      <w:bookmarkStart w:id="81" w:name="_Toc514251636"/>
      <w:bookmarkStart w:id="82" w:name="_Toc12956321"/>
      <w:r w:rsidRPr="004530BB">
        <w:t>3.2.Natural Gas Market Licensing and Certification Activities</w:t>
      </w:r>
      <w:bookmarkEnd w:id="80"/>
      <w:bookmarkEnd w:id="81"/>
      <w:bookmarkEnd w:id="82"/>
    </w:p>
    <w:p w:rsidR="00FE7FEB" w:rsidRPr="004530BB" w:rsidRDefault="004530BB" w:rsidP="004530BB">
      <w:pPr>
        <w:pStyle w:val="Balk3"/>
      </w:pPr>
      <w:bookmarkStart w:id="83" w:name="_Toc442431259"/>
      <w:bookmarkStart w:id="84" w:name="_Toc514251637"/>
      <w:bookmarkStart w:id="85" w:name="_Toc12956322"/>
      <w:r w:rsidRPr="004530BB">
        <w:t>3.2.1.</w:t>
      </w:r>
      <w:r w:rsidR="00FE7FEB" w:rsidRPr="004530BB">
        <w:t>Li</w:t>
      </w:r>
      <w:bookmarkEnd w:id="83"/>
      <w:bookmarkEnd w:id="84"/>
      <w:r w:rsidR="00FE7FEB" w:rsidRPr="004530BB">
        <w:t>censing Activities</w:t>
      </w:r>
      <w:bookmarkEnd w:id="85"/>
    </w:p>
    <w:p w:rsidR="00FE7FEB" w:rsidRPr="00822B0A" w:rsidRDefault="00FE7FEB" w:rsidP="00FE7FEB">
      <w:pPr>
        <w:spacing w:after="120" w:line="240" w:lineRule="auto"/>
        <w:jc w:val="both"/>
      </w:pPr>
      <w:r w:rsidRPr="00822B0A">
        <w:t xml:space="preserve">The market activities are defined in the Article 4 of the Natural Gas Market Law No: 4646 and it is stipulated that the legal persons to be engaged in market activities shall obtain a license. The production of natural gas is not provided for as a market activity, it is performed within the scope of the search and operation certificates taken as per the Petroleum Law No: 6491. However, the companies producing natural gas should get wholesale and/or export license to sell the gas as per the Law No: 4646.  </w:t>
      </w:r>
    </w:p>
    <w:p w:rsidR="00FE7FEB" w:rsidRPr="00822B0A" w:rsidRDefault="00FE7FEB" w:rsidP="00FE7FEB">
      <w:pPr>
        <w:spacing w:after="120" w:line="240" w:lineRule="auto"/>
        <w:jc w:val="both"/>
      </w:pPr>
      <w:r w:rsidRPr="00822B0A">
        <w:t xml:space="preserve">The principles and procedures regarding the licenses for natural gas market activities are set forth in the Natural Gas Market Licensing Regulation. Licenses are granted for at least 10 and at most 30 years at once.  </w:t>
      </w:r>
    </w:p>
    <w:p w:rsidR="00FE7FEB" w:rsidRPr="00822B0A" w:rsidRDefault="00FE7FEB" w:rsidP="00FE7FEB">
      <w:pPr>
        <w:spacing w:after="120" w:line="240" w:lineRule="auto"/>
        <w:jc w:val="both"/>
      </w:pPr>
      <w:r w:rsidRPr="00822B0A">
        <w:t>The types of licenses that can be obtained from the Authority according to the field of activity are; import, export, wholesale, storage, transmission, CNG, distribution license.</w:t>
      </w:r>
    </w:p>
    <w:p w:rsidR="00FE7FEB" w:rsidRDefault="00FE7FEB" w:rsidP="00FE7FEB"/>
    <w:p w:rsidR="00FE7FEB" w:rsidRPr="00542DD6" w:rsidRDefault="00FE7FEB" w:rsidP="00542DD6">
      <w:pPr>
        <w:pStyle w:val="Balk5"/>
      </w:pPr>
      <w:bookmarkStart w:id="86" w:name="_Toc12958473"/>
      <w:bookmarkStart w:id="87" w:name="_Toc416447580"/>
      <w:bookmarkStart w:id="88" w:name="_Toc442441732"/>
      <w:bookmarkStart w:id="89" w:name="_Toc512874130"/>
      <w:r w:rsidRPr="00542DD6">
        <w:rPr>
          <w:rStyle w:val="Gl"/>
          <w:b/>
          <w:bCs w:val="0"/>
        </w:rPr>
        <w:t>Table 3.3: Licensing Activities in 2018 in the Natural Gas Market (Numbers)</w:t>
      </w:r>
      <w:bookmarkEnd w:id="86"/>
      <w:r w:rsidRPr="00542DD6">
        <w:rPr>
          <w:rStyle w:val="Gl"/>
          <w:b/>
          <w:bCs w:val="0"/>
        </w:rPr>
        <w:t xml:space="preserve"> </w:t>
      </w:r>
      <w:bookmarkEnd w:id="87"/>
      <w:bookmarkEnd w:id="88"/>
      <w:bookmarkEnd w:id="89"/>
    </w:p>
    <w:tbl>
      <w:tblPr>
        <w:tblW w:w="5000" w:type="pct"/>
        <w:tblCellMar>
          <w:left w:w="70" w:type="dxa"/>
          <w:right w:w="70" w:type="dxa"/>
        </w:tblCellMar>
        <w:tblLook w:val="04A0" w:firstRow="1" w:lastRow="0" w:firstColumn="1" w:lastColumn="0" w:noHBand="0" w:noVBand="1"/>
      </w:tblPr>
      <w:tblGrid>
        <w:gridCol w:w="1541"/>
        <w:gridCol w:w="1185"/>
        <w:gridCol w:w="1067"/>
        <w:gridCol w:w="1203"/>
        <w:gridCol w:w="1067"/>
        <w:gridCol w:w="1347"/>
        <w:gridCol w:w="1068"/>
        <w:gridCol w:w="1068"/>
      </w:tblGrid>
      <w:tr w:rsidR="00FE7FEB" w:rsidTr="00D816E6">
        <w:trPr>
          <w:trHeight w:val="780"/>
        </w:trPr>
        <w:tc>
          <w:tcPr>
            <w:tcW w:w="842" w:type="pct"/>
            <w:tcBorders>
              <w:top w:val="single" w:sz="8" w:space="0" w:color="D9D9D9"/>
              <w:left w:val="single" w:sz="8" w:space="0" w:color="D9D9D9"/>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val="tr-TR" w:eastAsia="tr-TR"/>
              </w:rPr>
            </w:pPr>
            <w:r w:rsidRPr="000E3C7E">
              <w:rPr>
                <w:rFonts w:eastAsia="Times New Roman" w:cs="Arial"/>
                <w:b/>
                <w:bCs/>
                <w:color w:val="FFFFFF"/>
                <w:lang w:eastAsia="tr-TR"/>
              </w:rPr>
              <w:t>License Type</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License Application</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Granted Licenses</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Terminated License</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Cancelled License</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No of amendments</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Total</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No of licenses in effect</w:t>
            </w:r>
          </w:p>
        </w:tc>
      </w:tr>
      <w:tr w:rsidR="00FE7FE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0E3C7E">
              <w:rPr>
                <w:rFonts w:eastAsia="Times New Roman" w:cs="Arial"/>
                <w:color w:val="000000"/>
                <w:lang w:eastAsia="tr-TR"/>
              </w:rPr>
              <w:t>Distribution License</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18</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18</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72</w:t>
            </w:r>
          </w:p>
        </w:tc>
      </w:tr>
      <w:tr w:rsidR="00FE7FE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0E3C7E">
              <w:rPr>
                <w:rFonts w:eastAsia="Times New Roman" w:cs="Arial"/>
                <w:color w:val="000000"/>
                <w:lang w:eastAsia="tr-TR"/>
              </w:rPr>
              <w:t>Storage License</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 </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8</w:t>
            </w:r>
          </w:p>
        </w:tc>
      </w:tr>
      <w:tr w:rsidR="00FE7FE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0E3C7E">
              <w:rPr>
                <w:rFonts w:eastAsia="Times New Roman" w:cs="Arial"/>
                <w:color w:val="000000"/>
                <w:lang w:eastAsia="tr-TR"/>
              </w:rPr>
              <w:t>Export License</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7</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11</w:t>
            </w:r>
          </w:p>
        </w:tc>
      </w:tr>
      <w:tr w:rsidR="00FE7FE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0E3C7E">
              <w:rPr>
                <w:rFonts w:eastAsia="Times New Roman" w:cs="Arial"/>
                <w:color w:val="000000"/>
                <w:lang w:eastAsia="tr-TR"/>
              </w:rPr>
              <w:t>Transmission License</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15</w:t>
            </w:r>
          </w:p>
        </w:tc>
      </w:tr>
      <w:tr w:rsidR="00FE7FE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0E3C7E">
              <w:rPr>
                <w:rFonts w:eastAsia="Times New Roman" w:cs="Arial"/>
                <w:color w:val="000000"/>
                <w:lang w:eastAsia="tr-TR"/>
              </w:rPr>
              <w:t>Import License</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7</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7</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18</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65</w:t>
            </w:r>
          </w:p>
        </w:tc>
      </w:tr>
      <w:tr w:rsidR="00FE7FEB" w:rsidTr="00D816E6">
        <w:trPr>
          <w:trHeight w:val="525"/>
        </w:trPr>
        <w:tc>
          <w:tcPr>
            <w:tcW w:w="842"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rPr>
                <w:rFonts w:ascii="Arial" w:eastAsia="Times New Roman" w:hAnsi="Arial" w:cs="Arial"/>
                <w:sz w:val="20"/>
                <w:szCs w:val="20"/>
                <w:lang w:eastAsia="tr-TR"/>
              </w:rPr>
            </w:pPr>
            <w:r w:rsidRPr="000E3C7E">
              <w:rPr>
                <w:rFonts w:eastAsia="Times New Roman" w:cs="Arial"/>
                <w:color w:val="000000"/>
                <w:lang w:eastAsia="tr-TR"/>
              </w:rPr>
              <w:t>Compressed Natural Gas (CNG) License*</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8</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95</w:t>
            </w:r>
          </w:p>
        </w:tc>
      </w:tr>
      <w:tr w:rsidR="00FE7FE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0E3C7E">
              <w:rPr>
                <w:rFonts w:eastAsia="Times New Roman" w:cs="Arial"/>
                <w:color w:val="000000"/>
                <w:lang w:eastAsia="tr-TR"/>
              </w:rPr>
              <w:t>Wholesale License**</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5</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22</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54</w:t>
            </w:r>
          </w:p>
        </w:tc>
      </w:tr>
      <w:tr w:rsidR="00FE7FE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both"/>
              <w:rPr>
                <w:rFonts w:ascii="Arial" w:eastAsia="Times New Roman" w:hAnsi="Arial" w:cs="Arial"/>
                <w:b/>
                <w:bCs/>
                <w:sz w:val="20"/>
                <w:szCs w:val="20"/>
                <w:lang w:eastAsia="tr-TR"/>
              </w:rPr>
            </w:pPr>
            <w:r>
              <w:rPr>
                <w:rFonts w:ascii="Arial" w:eastAsia="Times New Roman" w:hAnsi="Arial" w:cs="Arial"/>
                <w:b/>
                <w:bCs/>
                <w:sz w:val="20"/>
                <w:szCs w:val="20"/>
                <w:lang w:eastAsia="tr-TR"/>
              </w:rPr>
              <w:t>Total</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15</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23</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10</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29</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78</w:t>
            </w:r>
          </w:p>
        </w:tc>
        <w:tc>
          <w:tcPr>
            <w:tcW w:w="5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320</w:t>
            </w:r>
          </w:p>
        </w:tc>
      </w:tr>
    </w:tbl>
    <w:p w:rsidR="00FE7FEB" w:rsidRPr="00822B0A" w:rsidRDefault="00FE7FEB" w:rsidP="00FE7FEB">
      <w:pPr>
        <w:spacing w:after="0"/>
        <w:jc w:val="both"/>
        <w:rPr>
          <w:sz w:val="20"/>
          <w:szCs w:val="20"/>
        </w:rPr>
      </w:pPr>
      <w:r w:rsidRPr="00822B0A">
        <w:rPr>
          <w:sz w:val="20"/>
          <w:szCs w:val="20"/>
        </w:rPr>
        <w:t xml:space="preserve">*As per the Regulation Amending the Natural Gas market License Regulation published in the Official Gazette dated 24/05/2017 and numbered 30075, under the scope of CNG License, there are three sub-license types namely CNG sale, CNG transmision/distribution and Auto CNG. The number of CNG licenses in Table 3.3 consists of the total number of CNG license sub-types. </w:t>
      </w:r>
    </w:p>
    <w:p w:rsidR="00FE7FEB" w:rsidRPr="00822B0A" w:rsidRDefault="00FE7FEB" w:rsidP="00FE7FEB">
      <w:pPr>
        <w:spacing w:after="0" w:line="240" w:lineRule="auto"/>
        <w:jc w:val="both"/>
        <w:rPr>
          <w:sz w:val="20"/>
          <w:szCs w:val="20"/>
        </w:rPr>
      </w:pPr>
      <w:r w:rsidRPr="00822B0A">
        <w:rPr>
          <w:sz w:val="20"/>
          <w:szCs w:val="20"/>
        </w:rPr>
        <w:t>** Production companies also hold wholesale licenses and there is no wholesale (Auto LNG) licensee as of the end of 201</w:t>
      </w:r>
      <w:r>
        <w:rPr>
          <w:sz w:val="20"/>
          <w:szCs w:val="20"/>
        </w:rPr>
        <w:t>8</w:t>
      </w:r>
      <w:r w:rsidRPr="00822B0A">
        <w:rPr>
          <w:sz w:val="20"/>
          <w:szCs w:val="20"/>
        </w:rPr>
        <w:t xml:space="preserve">. </w:t>
      </w:r>
    </w:p>
    <w:p w:rsidR="00FE7FEB" w:rsidRDefault="00FE7FEB" w:rsidP="00FE7FEB"/>
    <w:p w:rsidR="00FE7FEB" w:rsidRPr="00542DD6" w:rsidRDefault="00FE7FEB" w:rsidP="00542DD6">
      <w:pPr>
        <w:pStyle w:val="Balk5"/>
      </w:pPr>
      <w:bookmarkStart w:id="90" w:name="_Toc512874131"/>
      <w:r w:rsidRPr="00542DD6">
        <w:rPr>
          <w:rStyle w:val="Gl"/>
          <w:b/>
          <w:bCs w:val="0"/>
        </w:rPr>
        <w:t xml:space="preserve">                  </w:t>
      </w:r>
      <w:bookmarkStart w:id="91" w:name="_Toc12958474"/>
      <w:r w:rsidRPr="00542DD6">
        <w:rPr>
          <w:rStyle w:val="Gl"/>
          <w:b/>
          <w:bCs w:val="0"/>
        </w:rPr>
        <w:t>Table 3.4: Information on Licensed Natural Gas Storage Facilities</w:t>
      </w:r>
      <w:bookmarkEnd w:id="90"/>
      <w:bookmarkEnd w:id="91"/>
    </w:p>
    <w:tbl>
      <w:tblPr>
        <w:tblW w:w="10260" w:type="dxa"/>
        <w:tblInd w:w="-80" w:type="dxa"/>
        <w:tblCellMar>
          <w:left w:w="70" w:type="dxa"/>
          <w:right w:w="70" w:type="dxa"/>
        </w:tblCellMar>
        <w:tblLook w:val="04A0" w:firstRow="1" w:lastRow="0" w:firstColumn="1" w:lastColumn="0" w:noHBand="0" w:noVBand="1"/>
      </w:tblPr>
      <w:tblGrid>
        <w:gridCol w:w="3820"/>
        <w:gridCol w:w="1740"/>
        <w:gridCol w:w="1960"/>
        <w:gridCol w:w="2740"/>
      </w:tblGrid>
      <w:tr w:rsidR="00FE7FEB" w:rsidRPr="00046BB8" w:rsidTr="00542DD6">
        <w:trPr>
          <w:trHeight w:val="765"/>
          <w:tblHeader/>
        </w:trPr>
        <w:tc>
          <w:tcPr>
            <w:tcW w:w="3820" w:type="dxa"/>
            <w:tcBorders>
              <w:top w:val="single" w:sz="8" w:space="0" w:color="D3D3D3"/>
              <w:left w:val="single" w:sz="8" w:space="0" w:color="D3D3D3"/>
              <w:bottom w:val="nil"/>
              <w:right w:val="single" w:sz="8" w:space="0" w:color="D3D3D3"/>
            </w:tcBorders>
            <w:shd w:val="clear" w:color="auto" w:fill="6E9ECA"/>
            <w:vAlign w:val="center"/>
            <w:hideMark/>
          </w:tcPr>
          <w:p w:rsidR="00FE7FEB" w:rsidRDefault="00FE7FEB" w:rsidP="00D816E6">
            <w:pPr>
              <w:spacing w:after="0" w:line="240" w:lineRule="auto"/>
              <w:rPr>
                <w:rFonts w:ascii="Arial" w:eastAsia="Times New Roman" w:hAnsi="Arial" w:cs="Arial"/>
                <w:b/>
                <w:bCs/>
                <w:color w:val="FFFFFF"/>
                <w:sz w:val="20"/>
                <w:szCs w:val="20"/>
                <w:lang w:val="tr-TR" w:eastAsia="tr-TR"/>
              </w:rPr>
            </w:pPr>
            <w:r w:rsidRPr="000E3C7E">
              <w:rPr>
                <w:rFonts w:eastAsia="Times New Roman" w:cs="Arial"/>
                <w:b/>
                <w:bCs/>
                <w:color w:val="FFFFFF"/>
                <w:lang w:eastAsia="tr-TR"/>
              </w:rPr>
              <w:t>License Holder</w:t>
            </w:r>
          </w:p>
        </w:tc>
        <w:tc>
          <w:tcPr>
            <w:tcW w:w="1740" w:type="dxa"/>
            <w:tcBorders>
              <w:top w:val="single" w:sz="8" w:space="0" w:color="D3D3D3"/>
              <w:left w:val="nil"/>
              <w:bottom w:val="nil"/>
              <w:right w:val="single" w:sz="8" w:space="0" w:color="D3D3D3"/>
            </w:tcBorders>
            <w:shd w:val="clear" w:color="auto" w:fill="6E9ECA"/>
            <w:vAlign w:val="center"/>
            <w:hideMark/>
          </w:tcPr>
          <w:p w:rsidR="00FE7FEB" w:rsidRDefault="00FE7FEB" w:rsidP="00D816E6">
            <w:pPr>
              <w:spacing w:after="0" w:line="240" w:lineRule="auto"/>
              <w:rPr>
                <w:rFonts w:ascii="Arial" w:eastAsia="Times New Roman" w:hAnsi="Arial" w:cs="Arial"/>
                <w:b/>
                <w:bCs/>
                <w:color w:val="FFFFFF"/>
                <w:sz w:val="20"/>
                <w:szCs w:val="20"/>
                <w:lang w:eastAsia="tr-TR"/>
              </w:rPr>
            </w:pPr>
            <w:r>
              <w:rPr>
                <w:rFonts w:eastAsia="Times New Roman" w:cs="Arial"/>
                <w:b/>
                <w:bCs/>
                <w:color w:val="FFFFFF"/>
                <w:lang w:eastAsia="tr-TR"/>
              </w:rPr>
              <w:t>Province</w:t>
            </w:r>
            <w:r w:rsidRPr="000E3C7E">
              <w:rPr>
                <w:rFonts w:eastAsia="Times New Roman" w:cs="Arial"/>
                <w:b/>
                <w:bCs/>
                <w:color w:val="FFFFFF"/>
                <w:lang w:eastAsia="tr-TR"/>
              </w:rPr>
              <w:t xml:space="preserve"> of the facility</w:t>
            </w:r>
          </w:p>
        </w:tc>
        <w:tc>
          <w:tcPr>
            <w:tcW w:w="1960" w:type="dxa"/>
            <w:tcBorders>
              <w:top w:val="single" w:sz="8" w:space="0" w:color="D3D3D3"/>
              <w:left w:val="nil"/>
              <w:bottom w:val="nil"/>
              <w:right w:val="single" w:sz="8" w:space="0" w:color="D3D3D3"/>
            </w:tcBorders>
            <w:shd w:val="clear" w:color="auto" w:fill="6E9ECA"/>
            <w:vAlign w:val="center"/>
            <w:hideMark/>
          </w:tcPr>
          <w:p w:rsidR="00FE7FEB" w:rsidRDefault="00FE7FEB" w:rsidP="00D816E6">
            <w:pPr>
              <w:spacing w:after="0" w:line="240" w:lineRule="auto"/>
              <w:rPr>
                <w:rFonts w:ascii="Arial" w:eastAsia="Times New Roman" w:hAnsi="Arial" w:cs="Arial"/>
                <w:b/>
                <w:bCs/>
                <w:color w:val="FFFFFF"/>
                <w:sz w:val="20"/>
                <w:szCs w:val="20"/>
                <w:lang w:eastAsia="tr-TR"/>
              </w:rPr>
            </w:pPr>
            <w:r w:rsidRPr="000E3C7E">
              <w:rPr>
                <w:rFonts w:eastAsia="Times New Roman" w:cs="Arial"/>
                <w:b/>
                <w:bCs/>
                <w:color w:val="FFFFFF"/>
                <w:lang w:eastAsia="tr-TR"/>
              </w:rPr>
              <w:t>Type of Storage</w:t>
            </w:r>
          </w:p>
        </w:tc>
        <w:tc>
          <w:tcPr>
            <w:tcW w:w="2740" w:type="dxa"/>
            <w:tcBorders>
              <w:top w:val="single" w:sz="8" w:space="0" w:color="D3D3D3"/>
              <w:left w:val="nil"/>
              <w:bottom w:val="nil"/>
              <w:right w:val="single" w:sz="8" w:space="0" w:color="D3D3D3"/>
            </w:tcBorders>
            <w:shd w:val="clear" w:color="auto" w:fill="6E9ECA"/>
            <w:vAlign w:val="center"/>
            <w:hideMark/>
          </w:tcPr>
          <w:p w:rsidR="00FE7FEB" w:rsidRPr="00046BB8"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 xml:space="preserve">Total Storage Capacity (Registered in the licenses </w:t>
            </w:r>
            <w:r w:rsidRPr="000E3C7E">
              <w:rPr>
                <w:rFonts w:eastAsia="Times New Roman" w:cs="Arial"/>
                <w:b/>
                <w:bCs/>
                <w:color w:val="FFFFFF"/>
                <w:lang w:eastAsia="tr-TR"/>
              </w:rPr>
              <w:br/>
              <w:t>(m3)</w:t>
            </w:r>
          </w:p>
        </w:tc>
      </w:tr>
      <w:tr w:rsidR="00FE7FE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Pr="002F51C6" w:rsidRDefault="00FE7FEB" w:rsidP="00D816E6">
            <w:pPr>
              <w:spacing w:after="0" w:line="240" w:lineRule="auto"/>
              <w:rPr>
                <w:rFonts w:ascii="Arial" w:eastAsia="Times New Roman" w:hAnsi="Arial" w:cs="Arial"/>
                <w:sz w:val="20"/>
                <w:szCs w:val="20"/>
                <w:lang w:eastAsia="tr-TR"/>
              </w:rPr>
            </w:pPr>
            <w:r w:rsidRPr="002F51C6">
              <w:rPr>
                <w:rFonts w:ascii="Arial" w:eastAsia="Times New Roman" w:hAnsi="Arial" w:cs="Arial"/>
                <w:sz w:val="20"/>
                <w:szCs w:val="20"/>
                <w:lang w:eastAsia="tr-TR"/>
              </w:rPr>
              <w:t>BORU HATLARI İLE PETROL TAŞIMA ANONİM ŞİRKETİ</w:t>
            </w:r>
          </w:p>
        </w:tc>
        <w:tc>
          <w:tcPr>
            <w:tcW w:w="1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AKSARAY</w:t>
            </w:r>
          </w:p>
        </w:tc>
        <w:tc>
          <w:tcPr>
            <w:tcW w:w="196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Yeraltı</w:t>
            </w:r>
          </w:p>
        </w:tc>
        <w:tc>
          <w:tcPr>
            <w:tcW w:w="2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1.500.000.000</w:t>
            </w:r>
          </w:p>
        </w:tc>
      </w:tr>
      <w:tr w:rsidR="00FE7FE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sz w:val="20"/>
                <w:szCs w:val="20"/>
                <w:lang w:eastAsia="tr-TR"/>
              </w:rPr>
            </w:pPr>
            <w:r>
              <w:rPr>
                <w:rFonts w:ascii="Arial" w:eastAsia="Times New Roman" w:hAnsi="Arial" w:cs="Arial"/>
                <w:sz w:val="20"/>
                <w:szCs w:val="20"/>
                <w:lang w:eastAsia="tr-TR"/>
              </w:rPr>
              <w:t>GAZ DEPO VE MADENCİLİK ANONİM ŞİRKETİ*</w:t>
            </w:r>
          </w:p>
        </w:tc>
        <w:tc>
          <w:tcPr>
            <w:tcW w:w="1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MERSİN</w:t>
            </w:r>
          </w:p>
        </w:tc>
        <w:tc>
          <w:tcPr>
            <w:tcW w:w="196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Yeraltı</w:t>
            </w:r>
          </w:p>
        </w:tc>
        <w:tc>
          <w:tcPr>
            <w:tcW w:w="2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1.000.000.000</w:t>
            </w:r>
          </w:p>
        </w:tc>
      </w:tr>
      <w:tr w:rsidR="00FE7FE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sz w:val="20"/>
                <w:szCs w:val="20"/>
                <w:lang w:eastAsia="tr-TR"/>
              </w:rPr>
            </w:pPr>
            <w:r>
              <w:rPr>
                <w:rFonts w:ascii="Arial" w:eastAsia="Times New Roman" w:hAnsi="Arial" w:cs="Arial"/>
                <w:sz w:val="20"/>
                <w:szCs w:val="20"/>
                <w:lang w:eastAsia="tr-TR"/>
              </w:rPr>
              <w:t>TOREN DOĞALGAZ DEPOLAMA VE MADENCİLİK ANONİM ŞİRKETİ*</w:t>
            </w:r>
          </w:p>
        </w:tc>
        <w:tc>
          <w:tcPr>
            <w:tcW w:w="1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MERSİN</w:t>
            </w:r>
          </w:p>
        </w:tc>
        <w:tc>
          <w:tcPr>
            <w:tcW w:w="196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Yeraltı</w:t>
            </w:r>
          </w:p>
        </w:tc>
        <w:tc>
          <w:tcPr>
            <w:tcW w:w="2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3.000.000.000</w:t>
            </w:r>
          </w:p>
        </w:tc>
      </w:tr>
      <w:tr w:rsidR="00FE7FE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sz w:val="20"/>
                <w:szCs w:val="20"/>
                <w:lang w:eastAsia="tr-TR"/>
              </w:rPr>
            </w:pPr>
            <w:r>
              <w:rPr>
                <w:rFonts w:ascii="Arial" w:eastAsia="Times New Roman" w:hAnsi="Arial" w:cs="Arial"/>
                <w:sz w:val="20"/>
                <w:szCs w:val="20"/>
                <w:lang w:eastAsia="tr-TR"/>
              </w:rPr>
              <w:t>BOTAŞ (BORU HATLARI İLE PETROL TAŞIMA ANONİM ŞİRKETİ)</w:t>
            </w:r>
          </w:p>
        </w:tc>
        <w:tc>
          <w:tcPr>
            <w:tcW w:w="1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İSTANBUL</w:t>
            </w:r>
          </w:p>
        </w:tc>
        <w:tc>
          <w:tcPr>
            <w:tcW w:w="196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Yeraltı</w:t>
            </w:r>
          </w:p>
        </w:tc>
        <w:tc>
          <w:tcPr>
            <w:tcW w:w="2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2.661.000.000</w:t>
            </w:r>
          </w:p>
        </w:tc>
      </w:tr>
      <w:tr w:rsidR="00FE7FEB" w:rsidTr="00542DD6">
        <w:trPr>
          <w:trHeight w:val="315"/>
        </w:trPr>
        <w:tc>
          <w:tcPr>
            <w:tcW w:w="3820" w:type="dxa"/>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sz w:val="20"/>
                <w:szCs w:val="20"/>
                <w:lang w:eastAsia="tr-TR"/>
              </w:rPr>
            </w:pPr>
            <w:r>
              <w:rPr>
                <w:rFonts w:ascii="Arial" w:eastAsia="Times New Roman" w:hAnsi="Arial" w:cs="Arial"/>
                <w:sz w:val="20"/>
                <w:szCs w:val="20"/>
                <w:lang w:eastAsia="tr-TR"/>
              </w:rPr>
              <w:t>EGE GAZ ANONİM ŞİRKETİ</w:t>
            </w:r>
          </w:p>
        </w:tc>
        <w:tc>
          <w:tcPr>
            <w:tcW w:w="1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İZMİR</w:t>
            </w:r>
          </w:p>
        </w:tc>
        <w:tc>
          <w:tcPr>
            <w:tcW w:w="196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LNG</w:t>
            </w:r>
          </w:p>
        </w:tc>
        <w:tc>
          <w:tcPr>
            <w:tcW w:w="2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280.000**</w:t>
            </w:r>
          </w:p>
        </w:tc>
      </w:tr>
      <w:tr w:rsidR="00FE7FE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sz w:val="20"/>
                <w:szCs w:val="20"/>
                <w:lang w:eastAsia="tr-TR"/>
              </w:rPr>
            </w:pPr>
            <w:r>
              <w:rPr>
                <w:rFonts w:ascii="Arial" w:eastAsia="Times New Roman" w:hAnsi="Arial" w:cs="Arial"/>
                <w:sz w:val="20"/>
                <w:szCs w:val="20"/>
                <w:lang w:eastAsia="tr-TR"/>
              </w:rPr>
              <w:t>BORU HATLARI İLE PETROL TAŞIMA ANONİM ŞİRKETİ</w:t>
            </w:r>
          </w:p>
        </w:tc>
        <w:tc>
          <w:tcPr>
            <w:tcW w:w="1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TEKİRDAĞ</w:t>
            </w:r>
          </w:p>
        </w:tc>
        <w:tc>
          <w:tcPr>
            <w:tcW w:w="196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LNG</w:t>
            </w:r>
          </w:p>
        </w:tc>
        <w:tc>
          <w:tcPr>
            <w:tcW w:w="2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255.000**</w:t>
            </w:r>
          </w:p>
        </w:tc>
      </w:tr>
      <w:tr w:rsidR="00FE7FE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sz w:val="20"/>
                <w:szCs w:val="20"/>
                <w:lang w:eastAsia="tr-TR"/>
              </w:rPr>
            </w:pPr>
            <w:r>
              <w:rPr>
                <w:rFonts w:ascii="Arial" w:eastAsia="Times New Roman" w:hAnsi="Arial" w:cs="Arial"/>
                <w:sz w:val="20"/>
                <w:szCs w:val="20"/>
                <w:lang w:eastAsia="tr-TR"/>
              </w:rPr>
              <w:t>ETKİ LİMAN İŞLETMELERİ DOĞALGAZ İTHALAT VE TİCARET ANONİM ŞİRKETİ</w:t>
            </w:r>
          </w:p>
        </w:tc>
        <w:tc>
          <w:tcPr>
            <w:tcW w:w="1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İZMİR</w:t>
            </w:r>
          </w:p>
        </w:tc>
        <w:tc>
          <w:tcPr>
            <w:tcW w:w="196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LNG</w:t>
            </w:r>
          </w:p>
        </w:tc>
        <w:tc>
          <w:tcPr>
            <w:tcW w:w="2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560.000**</w:t>
            </w:r>
          </w:p>
        </w:tc>
      </w:tr>
      <w:tr w:rsidR="00FE7FE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Default="00FE7FEB" w:rsidP="00D816E6">
            <w:pPr>
              <w:spacing w:after="0" w:line="240" w:lineRule="auto"/>
              <w:rPr>
                <w:rFonts w:ascii="Arial" w:eastAsia="Times New Roman" w:hAnsi="Arial" w:cs="Arial"/>
                <w:sz w:val="20"/>
                <w:szCs w:val="20"/>
                <w:lang w:eastAsia="tr-TR"/>
              </w:rPr>
            </w:pPr>
            <w:r>
              <w:rPr>
                <w:rFonts w:ascii="Arial" w:eastAsia="Times New Roman" w:hAnsi="Arial" w:cs="Arial"/>
                <w:sz w:val="20"/>
                <w:szCs w:val="20"/>
                <w:lang w:eastAsia="tr-TR"/>
              </w:rPr>
              <w:t>BOTAŞ (BORU HATLARI İLE PETROL TAŞIMA ANONİM ŞİRKETİ)</w:t>
            </w:r>
          </w:p>
        </w:tc>
        <w:tc>
          <w:tcPr>
            <w:tcW w:w="1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HATAY</w:t>
            </w:r>
          </w:p>
        </w:tc>
        <w:tc>
          <w:tcPr>
            <w:tcW w:w="196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Pr>
                <w:rFonts w:ascii="Arial" w:eastAsia="Times New Roman" w:hAnsi="Arial" w:cs="Arial"/>
                <w:sz w:val="20"/>
                <w:szCs w:val="20"/>
                <w:lang w:eastAsia="tr-TR"/>
              </w:rPr>
              <w:t>LNG</w:t>
            </w:r>
          </w:p>
        </w:tc>
        <w:tc>
          <w:tcPr>
            <w:tcW w:w="2740" w:type="dxa"/>
            <w:tcBorders>
              <w:top w:val="nil"/>
              <w:left w:val="nil"/>
              <w:bottom w:val="single" w:sz="8" w:space="0" w:color="D3D3D3"/>
              <w:right w:val="single" w:sz="8" w:space="0" w:color="D3D3D3"/>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263.000**</w:t>
            </w:r>
          </w:p>
        </w:tc>
      </w:tr>
    </w:tbl>
    <w:p w:rsidR="00FE7FEB" w:rsidRDefault="00FE7FEB" w:rsidP="00FE7FEB">
      <w:pPr>
        <w:spacing w:after="0"/>
        <w:jc w:val="both"/>
      </w:pPr>
      <w:r w:rsidRPr="00822B0A">
        <w:t>*The facilities are not in operation yet.</w:t>
      </w:r>
    </w:p>
    <w:p w:rsidR="00FE7FEB" w:rsidRDefault="00FE7FEB" w:rsidP="00FE7FEB">
      <w:pPr>
        <w:spacing w:after="0"/>
        <w:jc w:val="both"/>
      </w:pPr>
      <w:r>
        <w:t>**</w:t>
      </w:r>
      <w:r w:rsidRPr="00046BB8">
        <w:t>Liquefied natural gas</w:t>
      </w:r>
      <w:r>
        <w:t xml:space="preserve"> (LNG)</w:t>
      </w:r>
    </w:p>
    <w:p w:rsidR="00FE7FEB" w:rsidRDefault="00FE7FEB" w:rsidP="00FE7FEB">
      <w:pPr>
        <w:spacing w:after="0"/>
        <w:jc w:val="both"/>
      </w:pPr>
      <w:r>
        <w:t>***</w:t>
      </w:r>
      <w:r w:rsidRPr="00046BB8">
        <w:t>The amounts are the total capacity amounts registered in the license. There are eight storage licenses, four of which are underground and four are LNG terminals. As of 2018, the actual underground storage capacity reached 3.39 billion m3 within the scope of granted underground storage licenses.</w:t>
      </w:r>
    </w:p>
    <w:p w:rsidR="004530BB" w:rsidRDefault="004530BB" w:rsidP="004530BB">
      <w:pPr>
        <w:pStyle w:val="Balk3"/>
        <w:spacing w:before="0" w:after="120" w:line="240" w:lineRule="auto"/>
        <w:jc w:val="both"/>
        <w:rPr>
          <w:b w:val="0"/>
          <w:bCs/>
          <w:sz w:val="22"/>
          <w:szCs w:val="22"/>
        </w:rPr>
      </w:pPr>
    </w:p>
    <w:p w:rsidR="00FE7FEB" w:rsidRPr="004530BB" w:rsidRDefault="004530BB" w:rsidP="004530BB">
      <w:pPr>
        <w:pStyle w:val="Balk3"/>
      </w:pPr>
      <w:bookmarkStart w:id="92" w:name="_Toc12956323"/>
      <w:r w:rsidRPr="004530BB">
        <w:t>3.2.2.</w:t>
      </w:r>
      <w:r w:rsidR="00FE7FEB" w:rsidRPr="004530BB">
        <w:t>Certification Activities</w:t>
      </w:r>
      <w:bookmarkEnd w:id="92"/>
    </w:p>
    <w:p w:rsidR="00FE7FEB" w:rsidRPr="00822B0A" w:rsidRDefault="00FE7FEB" w:rsidP="00FE7FEB">
      <w:pPr>
        <w:spacing w:after="120" w:line="240" w:lineRule="auto"/>
        <w:jc w:val="both"/>
      </w:pPr>
      <w:r w:rsidRPr="00822B0A">
        <w:t>The principles and procedures regarding the certificates to be granted to the real or legal persons engaged in internal installation and service lines and construction and service activities in the natural gas market are set forth in the Natural Gas Market Certificate Regulation.</w:t>
      </w:r>
    </w:p>
    <w:p w:rsidR="00FE7FEB" w:rsidRPr="00822B0A" w:rsidRDefault="00FE7FEB" w:rsidP="00FE7FEB">
      <w:pPr>
        <w:spacing w:after="120" w:line="240" w:lineRule="auto"/>
        <w:jc w:val="both"/>
      </w:pPr>
      <w:r w:rsidRPr="00822B0A">
        <w:t xml:space="preserve">Certificate stands for the permission granted by the Authority showing the capability of the real or legal persons operating in the natural gas market in the fields of design, construction, revision, maintenance, repair, consultancy, etc. regarding the facilities to be placed in the system.  </w:t>
      </w:r>
    </w:p>
    <w:p w:rsidR="00FE7FEB" w:rsidRPr="00822B0A" w:rsidRDefault="00FE7FEB" w:rsidP="00FE7FEB">
      <w:pPr>
        <w:spacing w:after="120" w:line="240" w:lineRule="auto"/>
        <w:jc w:val="both"/>
      </w:pPr>
      <w:r w:rsidRPr="00822B0A">
        <w:t>Certificates are granted for at least ten and at most thirty years at once. Certificates are also subject to visa procedure. Certificate holders may not continue its activities until getting a visa. The visa period is 3 years for construction and service certificate and 1 year for internal installation and service lines certificate starting from the validity date.</w:t>
      </w:r>
    </w:p>
    <w:p w:rsidR="00FE7FEB" w:rsidRPr="00822B0A" w:rsidRDefault="00FE7FEB" w:rsidP="00FE7FEB">
      <w:pPr>
        <w:spacing w:after="120" w:line="240" w:lineRule="auto"/>
        <w:jc w:val="both"/>
      </w:pPr>
      <w:r w:rsidRPr="00822B0A">
        <w:t xml:space="preserve">Any construction and service activity related with natural gas may not be performed by persons not holding certificates. The ones who will deal with the services related with the system such as feasibility, preliminary study, project, consultancy, control and audit, construction, service, maintenance and repair are obliged to get a certificate form the Authority.   </w:t>
      </w:r>
    </w:p>
    <w:p w:rsidR="00FE7FEB" w:rsidRDefault="00FE7FEB" w:rsidP="00FE7FEB">
      <w:pPr>
        <w:spacing w:after="120" w:line="240" w:lineRule="auto"/>
        <w:jc w:val="both"/>
      </w:pPr>
      <w:r w:rsidRPr="00822B0A">
        <w:t>Following the issuance of each certificate, a separate registry file shall be opened for the relevant certificate holder and registry records shall be kept in accordance with the provisions of the relevant legislation. The real and legal persons granted construction and service certificate are published in the web site of the Authority, and the ones granted internal installation and service lines certificate are published in the web site of the distribution company granting the certificate.</w:t>
      </w:r>
    </w:p>
    <w:p w:rsidR="00FE7FEB" w:rsidRDefault="00FE7FEB" w:rsidP="00FE7FEB"/>
    <w:p w:rsidR="00FE7FEB" w:rsidRPr="00542DD6" w:rsidRDefault="00FE7FEB" w:rsidP="00542DD6">
      <w:pPr>
        <w:pStyle w:val="Balk5"/>
      </w:pPr>
      <w:bookmarkStart w:id="93" w:name="_Toc12958475"/>
      <w:r w:rsidRPr="00542DD6">
        <w:rPr>
          <w:rStyle w:val="Gl"/>
          <w:b/>
          <w:bCs w:val="0"/>
        </w:rPr>
        <w:t>Table 3.5: Certfications in the Natural Gas Market in 2018</w:t>
      </w:r>
      <w:bookmarkEnd w:id="93"/>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263"/>
        <w:gridCol w:w="1781"/>
        <w:gridCol w:w="1230"/>
        <w:gridCol w:w="1230"/>
        <w:gridCol w:w="1119"/>
        <w:gridCol w:w="1108"/>
        <w:gridCol w:w="618"/>
        <w:gridCol w:w="1197"/>
      </w:tblGrid>
      <w:tr w:rsidR="00FE7FEB" w:rsidTr="00D816E6">
        <w:trPr>
          <w:trHeight w:val="300"/>
        </w:trPr>
        <w:tc>
          <w:tcPr>
            <w:tcW w:w="571"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val="tr-TR" w:eastAsia="tr-TR"/>
              </w:rPr>
            </w:pPr>
            <w:r w:rsidRPr="00822B0A">
              <w:rPr>
                <w:rFonts w:ascii="Arial" w:eastAsia="Times New Roman" w:hAnsi="Arial" w:cs="Arial"/>
                <w:b/>
                <w:bCs/>
                <w:color w:val="FFFFFF"/>
                <w:sz w:val="20"/>
                <w:szCs w:val="20"/>
                <w:lang w:eastAsia="tr-TR"/>
              </w:rPr>
              <w:t>Type of Certificate</w:t>
            </w:r>
          </w:p>
        </w:tc>
        <w:tc>
          <w:tcPr>
            <w:tcW w:w="3624" w:type="pct"/>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Type of activity</w:t>
            </w:r>
          </w:p>
        </w:tc>
        <w:tc>
          <w:tcPr>
            <w:tcW w:w="403"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Total</w:t>
            </w:r>
          </w:p>
        </w:tc>
        <w:tc>
          <w:tcPr>
            <w:tcW w:w="403"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No of certificates in effect</w:t>
            </w:r>
          </w:p>
        </w:tc>
      </w:tr>
      <w:tr w:rsidR="00FE7FEB" w:rsidTr="00D816E6">
        <w:trPr>
          <w:trHeight w:val="525"/>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Arial" w:eastAsia="Times New Roman" w:hAnsi="Arial" w:cs="Arial"/>
                <w:b/>
                <w:bCs/>
                <w:color w:val="FFFFFF"/>
                <w:sz w:val="20"/>
                <w:szCs w:val="20"/>
                <w:lang w:eastAsia="tr-TR"/>
              </w:rPr>
            </w:pPr>
          </w:p>
        </w:tc>
        <w:tc>
          <w:tcPr>
            <w:tcW w:w="201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Applications for Certificates</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Granted Certificates</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Terminated Certificates</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Certificate Visa</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Amended Certicates</w:t>
            </w: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Arial" w:eastAsia="Times New Roman" w:hAnsi="Arial" w:cs="Arial"/>
                <w:b/>
                <w:bCs/>
                <w:color w:val="FFFFFF"/>
                <w:sz w:val="20"/>
                <w:szCs w:val="20"/>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Arial" w:eastAsia="Times New Roman" w:hAnsi="Arial" w:cs="Arial"/>
                <w:b/>
                <w:bCs/>
                <w:color w:val="FFFFFF"/>
                <w:sz w:val="20"/>
                <w:szCs w:val="20"/>
                <w:lang w:eastAsia="tr-TR"/>
              </w:rPr>
            </w:pPr>
          </w:p>
        </w:tc>
      </w:tr>
      <w:tr w:rsidR="00FE7FEB" w:rsidTr="00D816E6">
        <w:trPr>
          <w:trHeight w:val="315"/>
        </w:trPr>
        <w:tc>
          <w:tcPr>
            <w:tcW w:w="5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Construction and Service Certificate</w:t>
            </w:r>
          </w:p>
        </w:tc>
        <w:tc>
          <w:tcPr>
            <w:tcW w:w="201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Arial" w:eastAsia="Times New Roman" w:hAnsi="Arial" w:cs="Arial"/>
                <w:sz w:val="20"/>
                <w:szCs w:val="20"/>
                <w:lang w:eastAsia="tr-TR"/>
              </w:rPr>
            </w:pPr>
            <w:r>
              <w:rPr>
                <w:rFonts w:ascii="Arial" w:eastAsia="Times New Roman" w:hAnsi="Arial" w:cs="Arial"/>
                <w:sz w:val="20"/>
                <w:szCs w:val="20"/>
                <w:lang w:eastAsia="tr-TR"/>
              </w:rPr>
              <w:t>100</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Arial" w:eastAsia="Times New Roman" w:hAnsi="Arial" w:cs="Arial"/>
                <w:sz w:val="20"/>
                <w:szCs w:val="20"/>
                <w:lang w:eastAsia="tr-TR"/>
              </w:rPr>
            </w:pPr>
            <w:r>
              <w:rPr>
                <w:rFonts w:ascii="Arial" w:eastAsia="Times New Roman" w:hAnsi="Arial" w:cs="Arial"/>
                <w:sz w:val="20"/>
                <w:szCs w:val="20"/>
                <w:lang w:eastAsia="tr-TR"/>
              </w:rPr>
              <w:t>99</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Arial" w:eastAsia="Times New Roman" w:hAnsi="Arial" w:cs="Arial"/>
                <w:sz w:val="20"/>
                <w:szCs w:val="20"/>
                <w:lang w:eastAsia="tr-TR"/>
              </w:rPr>
            </w:pPr>
            <w:r>
              <w:rPr>
                <w:rFonts w:ascii="Arial" w:eastAsia="Times New Roman" w:hAnsi="Arial" w:cs="Arial"/>
                <w:sz w:val="20"/>
                <w:szCs w:val="20"/>
                <w:lang w:eastAsia="tr-TR"/>
              </w:rPr>
              <w:t>95</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Arial" w:eastAsia="Times New Roman" w:hAnsi="Arial" w:cs="Arial"/>
                <w:sz w:val="20"/>
                <w:szCs w:val="20"/>
                <w:lang w:eastAsia="tr-TR"/>
              </w:rPr>
            </w:pPr>
            <w:r>
              <w:rPr>
                <w:rFonts w:ascii="Arial" w:eastAsia="Times New Roman" w:hAnsi="Arial" w:cs="Arial"/>
                <w:sz w:val="20"/>
                <w:szCs w:val="20"/>
                <w:lang w:eastAsia="tr-TR"/>
              </w:rPr>
              <w:t>78</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Arial" w:eastAsia="Times New Roman" w:hAnsi="Arial" w:cs="Arial"/>
                <w:sz w:val="20"/>
                <w:szCs w:val="20"/>
                <w:lang w:eastAsia="tr-TR"/>
              </w:rPr>
            </w:pPr>
            <w:r>
              <w:rPr>
                <w:rFonts w:ascii="Arial" w:eastAsia="Times New Roman" w:hAnsi="Arial" w:cs="Arial"/>
                <w:sz w:val="20"/>
                <w:szCs w:val="20"/>
                <w:lang w:eastAsia="tr-TR"/>
              </w:rPr>
              <w:t>28</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Arial" w:eastAsia="Times New Roman" w:hAnsi="Arial" w:cs="Arial"/>
                <w:sz w:val="20"/>
                <w:szCs w:val="20"/>
                <w:lang w:eastAsia="tr-TR"/>
              </w:rPr>
            </w:pPr>
            <w:r>
              <w:rPr>
                <w:rFonts w:ascii="Arial" w:eastAsia="Times New Roman" w:hAnsi="Arial" w:cs="Arial"/>
                <w:sz w:val="20"/>
                <w:szCs w:val="20"/>
                <w:lang w:eastAsia="tr-TR"/>
              </w:rPr>
              <w:t>400</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Arial" w:eastAsia="Times New Roman" w:hAnsi="Arial" w:cs="Arial"/>
                <w:b/>
                <w:bCs/>
                <w:sz w:val="20"/>
                <w:szCs w:val="20"/>
                <w:lang w:eastAsia="tr-TR"/>
              </w:rPr>
            </w:pPr>
            <w:r>
              <w:rPr>
                <w:rFonts w:ascii="Arial" w:eastAsia="Times New Roman" w:hAnsi="Arial" w:cs="Arial"/>
                <w:b/>
                <w:bCs/>
                <w:sz w:val="20"/>
                <w:szCs w:val="20"/>
                <w:lang w:eastAsia="tr-TR"/>
              </w:rPr>
              <w:t>938</w:t>
            </w:r>
          </w:p>
        </w:tc>
      </w:tr>
    </w:tbl>
    <w:p w:rsidR="00FE7FEB" w:rsidRDefault="00FE7FEB" w:rsidP="00FE7FEB"/>
    <w:p w:rsidR="00FE7FEB" w:rsidRPr="004530BB" w:rsidRDefault="00FE7FEB" w:rsidP="004530BB">
      <w:pPr>
        <w:pStyle w:val="Balk2"/>
      </w:pPr>
      <w:bookmarkStart w:id="94" w:name="_Toc514251639"/>
      <w:bookmarkStart w:id="95" w:name="_Toc12956324"/>
      <w:r w:rsidRPr="004530BB">
        <w:t>3.3. Petroleum Market Licensing Activities</w:t>
      </w:r>
      <w:bookmarkEnd w:id="94"/>
      <w:bookmarkEnd w:id="95"/>
    </w:p>
    <w:p w:rsidR="00FE7FEB" w:rsidRPr="00822B0A" w:rsidRDefault="00FE7FEB" w:rsidP="00FE7FEB">
      <w:pPr>
        <w:spacing w:after="120" w:line="240" w:lineRule="auto"/>
        <w:jc w:val="both"/>
      </w:pPr>
      <w:r w:rsidRPr="00822B0A">
        <w:t xml:space="preserve">It is obligatory to get a license to perform the activities related with petroleum market such as; refining, processing, lube oil production, storage, transmission, eligible consumer and bunker activities and establishing and/or operating facilities with this purpose, liquid fuel distribution, transport and vendor activities. The principles and procedures of such licenses are set forth in the Petroleum Market Licensing Regulation.   </w:t>
      </w:r>
    </w:p>
    <w:p w:rsidR="00FE7FEB" w:rsidRPr="00822B0A" w:rsidRDefault="00FE7FEB" w:rsidP="00FE7FEB">
      <w:pPr>
        <w:spacing w:after="120" w:line="240" w:lineRule="auto"/>
        <w:jc w:val="both"/>
      </w:pPr>
      <w:r w:rsidRPr="00822B0A">
        <w:t>The types of licenses granted by the Authority according to the field of activity are; Refining Undertaking License, , Processing License, Lubricant License, Storage License, Transmission License, Eligible Consumer License, Bunker Delivery License, Distributor License, Transport License, Vendorship License.</w:t>
      </w:r>
    </w:p>
    <w:p w:rsidR="00FE7FEB" w:rsidRDefault="00FE7FEB" w:rsidP="00FE7FEB"/>
    <w:p w:rsidR="00FE7FEB" w:rsidRPr="00542DD6" w:rsidRDefault="00FE7FEB" w:rsidP="00542DD6">
      <w:pPr>
        <w:pStyle w:val="Balk5"/>
      </w:pPr>
      <w:bookmarkStart w:id="96" w:name="_Toc512874133"/>
      <w:bookmarkStart w:id="97" w:name="_Toc12958476"/>
      <w:r w:rsidRPr="00542DD6">
        <w:rPr>
          <w:rStyle w:val="Gl"/>
          <w:b/>
          <w:bCs w:val="0"/>
        </w:rPr>
        <w:t>Table 3.6: License Procedures in the Petroleum Market in 201</w:t>
      </w:r>
      <w:bookmarkEnd w:id="96"/>
      <w:r w:rsidRPr="00542DD6">
        <w:rPr>
          <w:rStyle w:val="Gl"/>
          <w:b/>
          <w:bCs w:val="0"/>
        </w:rPr>
        <w:t>8</w:t>
      </w:r>
      <w:bookmarkEnd w:id="9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78"/>
        <w:gridCol w:w="1229"/>
        <w:gridCol w:w="1104"/>
        <w:gridCol w:w="1219"/>
        <w:gridCol w:w="1104"/>
        <w:gridCol w:w="1104"/>
        <w:gridCol w:w="1104"/>
        <w:gridCol w:w="1104"/>
      </w:tblGrid>
      <w:tr w:rsidR="00FE7FEB" w:rsidTr="00D816E6">
        <w:trPr>
          <w:trHeight w:val="78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val="tr-TR" w:eastAsia="tr-TR"/>
              </w:rPr>
            </w:pPr>
            <w:r w:rsidRPr="00822B0A">
              <w:rPr>
                <w:rFonts w:ascii="Arial" w:eastAsia="Times New Roman" w:hAnsi="Arial" w:cs="Arial"/>
                <w:b/>
                <w:bCs/>
                <w:color w:val="FFFFFF"/>
                <w:sz w:val="20"/>
                <w:szCs w:val="20"/>
                <w:lang w:eastAsia="tr-TR"/>
              </w:rPr>
              <w:t>License Type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License Application</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Granted Licenses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Terminated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Cancelled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No of Renewals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Total</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ascii="Arial" w:eastAsia="Times New Roman" w:hAnsi="Arial" w:cs="Arial"/>
                <w:b/>
                <w:bCs/>
                <w:color w:val="FFFFFF"/>
                <w:sz w:val="20"/>
                <w:szCs w:val="20"/>
                <w:lang w:eastAsia="tr-TR"/>
              </w:rPr>
              <w:t>No of licenses in effect</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Vendorship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1.407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1.355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1.260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2.400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6.427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12.961</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Distribution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101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89</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Storage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56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98</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Bunker Delivery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8</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63</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Tranmission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33</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Processing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15</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Lube Oil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116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209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127</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color w:val="000000"/>
                <w:sz w:val="20"/>
                <w:szCs w:val="20"/>
                <w:lang w:eastAsia="tr-TR"/>
              </w:rPr>
            </w:pPr>
            <w:r w:rsidRPr="00822B0A">
              <w:rPr>
                <w:rFonts w:ascii="Arial" w:eastAsia="Times New Roman" w:hAnsi="Arial" w:cs="Arial"/>
                <w:color w:val="000000"/>
                <w:sz w:val="20"/>
                <w:szCs w:val="20"/>
                <w:lang w:eastAsia="tr-TR"/>
              </w:rPr>
              <w:t>Refining</w:t>
            </w:r>
            <w:r>
              <w:rPr>
                <w:rFonts w:ascii="Arial" w:eastAsia="Times New Roman" w:hAnsi="Arial" w:cs="Arial"/>
                <w:color w:val="000000"/>
                <w:sz w:val="20"/>
                <w:szCs w:val="20"/>
                <w:lang w:eastAsia="tr-TR"/>
              </w:rPr>
              <w:t xml:space="preserve"> </w:t>
            </w:r>
          </w:p>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Undertaking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6</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Eligible User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36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36</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sz w:val="20"/>
                <w:szCs w:val="20"/>
                <w:lang w:eastAsia="tr-TR"/>
              </w:rPr>
            </w:pPr>
            <w:r w:rsidRPr="00822B0A">
              <w:rPr>
                <w:rFonts w:ascii="Arial" w:eastAsia="Times New Roman" w:hAnsi="Arial" w:cs="Arial"/>
                <w:color w:val="000000"/>
                <w:sz w:val="20"/>
                <w:szCs w:val="20"/>
                <w:lang w:eastAsia="tr-TR"/>
              </w:rPr>
              <w:t>Transportation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18</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19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sz w:val="20"/>
                <w:szCs w:val="20"/>
                <w:lang w:eastAsia="tr-TR"/>
              </w:rPr>
            </w:pPr>
            <w:r>
              <w:rPr>
                <w:rFonts w:ascii="Arial" w:eastAsia="Times New Roman" w:hAnsi="Arial" w:cs="Arial"/>
                <w:sz w:val="20"/>
                <w:szCs w:val="20"/>
                <w:lang w:eastAsia="tr-TR"/>
              </w:rPr>
              <w:t>65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81</w:t>
            </w:r>
          </w:p>
        </w:tc>
      </w:tr>
      <w:tr w:rsidR="00FE7FE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rFonts w:ascii="Arial" w:eastAsia="Times New Roman" w:hAnsi="Arial" w:cs="Arial"/>
                <w:b/>
                <w:bCs/>
                <w:sz w:val="20"/>
                <w:szCs w:val="20"/>
                <w:lang w:eastAsia="tr-TR"/>
              </w:rPr>
            </w:pPr>
            <w:r>
              <w:rPr>
                <w:rFonts w:ascii="Arial" w:eastAsia="Times New Roman" w:hAnsi="Arial" w:cs="Arial"/>
                <w:b/>
                <w:bCs/>
                <w:sz w:val="20"/>
                <w:szCs w:val="20"/>
                <w:lang w:eastAsia="tr-TR"/>
              </w:rPr>
              <w:t>Total</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1.519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1.429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1.337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2.638</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6.950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13.509</w:t>
            </w:r>
          </w:p>
        </w:tc>
      </w:tr>
    </w:tbl>
    <w:p w:rsidR="00FE7FEB" w:rsidRDefault="00FE7FEB" w:rsidP="00FE7FEB"/>
    <w:p w:rsidR="00FE7FEB" w:rsidRDefault="00FE7FEB" w:rsidP="00FE7FEB"/>
    <w:p w:rsidR="00FE7FEB" w:rsidRPr="00542DD6" w:rsidRDefault="00FE7FEB" w:rsidP="00542DD6">
      <w:pPr>
        <w:pStyle w:val="Balk5"/>
      </w:pPr>
      <w:bookmarkStart w:id="98" w:name="_Toc12958477"/>
      <w:bookmarkStart w:id="99" w:name="_Toc416447588"/>
      <w:bookmarkStart w:id="100" w:name="_Toc442441738"/>
      <w:bookmarkStart w:id="101" w:name="_Toc512874134"/>
      <w:r w:rsidRPr="00542DD6">
        <w:rPr>
          <w:rStyle w:val="Gl"/>
          <w:b/>
          <w:bCs w:val="0"/>
        </w:rPr>
        <w:t>Table 3.7: Information on Refining Undertakings as of the end of 2018</w:t>
      </w:r>
      <w:bookmarkEnd w:id="98"/>
      <w:r w:rsidRPr="00542DD6">
        <w:rPr>
          <w:rStyle w:val="Gl"/>
          <w:b/>
          <w:bCs w:val="0"/>
        </w:rPr>
        <w:t xml:space="preserve"> </w:t>
      </w:r>
      <w:bookmarkEnd w:id="99"/>
      <w:bookmarkEnd w:id="100"/>
      <w:bookmarkEnd w:id="101"/>
    </w:p>
    <w:tbl>
      <w:tblPr>
        <w:tblW w:w="5000" w:type="pct"/>
        <w:tblCellMar>
          <w:left w:w="70" w:type="dxa"/>
          <w:right w:w="70" w:type="dxa"/>
        </w:tblCellMar>
        <w:tblLook w:val="04A0" w:firstRow="1" w:lastRow="0" w:firstColumn="1" w:lastColumn="0" w:noHBand="0" w:noVBand="1"/>
      </w:tblPr>
      <w:tblGrid>
        <w:gridCol w:w="3843"/>
        <w:gridCol w:w="1794"/>
        <w:gridCol w:w="2224"/>
        <w:gridCol w:w="1685"/>
      </w:tblGrid>
      <w:tr w:rsidR="00FE7FEB" w:rsidTr="00D816E6">
        <w:trPr>
          <w:trHeight w:val="780"/>
        </w:trPr>
        <w:tc>
          <w:tcPr>
            <w:tcW w:w="2203" w:type="pct"/>
            <w:tcBorders>
              <w:top w:val="single" w:sz="8" w:space="0" w:color="D9D9D9"/>
              <w:left w:val="single" w:sz="8" w:space="0" w:color="D9D9D9"/>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val="tr-TR" w:eastAsia="tr-TR"/>
              </w:rPr>
            </w:pPr>
            <w:r w:rsidRPr="000E3C7E">
              <w:rPr>
                <w:rFonts w:eastAsia="Times New Roman" w:cs="Arial"/>
                <w:b/>
                <w:bCs/>
                <w:color w:val="FFFFFF"/>
                <w:lang w:eastAsia="tr-TR"/>
              </w:rPr>
              <w:t>License Holder</w:t>
            </w:r>
          </w:p>
        </w:tc>
        <w:tc>
          <w:tcPr>
            <w:tcW w:w="862"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Province of the facility</w:t>
            </w:r>
          </w:p>
        </w:tc>
        <w:tc>
          <w:tcPr>
            <w:tcW w:w="1025"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Crude Oil Processing Capacity(Tonnes/Year)</w:t>
            </w:r>
          </w:p>
        </w:tc>
        <w:tc>
          <w:tcPr>
            <w:tcW w:w="910"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0E3C7E">
              <w:rPr>
                <w:rFonts w:eastAsia="Times New Roman" w:cs="Arial"/>
                <w:b/>
                <w:bCs/>
                <w:color w:val="FFFFFF"/>
                <w:lang w:eastAsia="tr-TR"/>
              </w:rPr>
              <w:t>Storage Capacity(tonnes)</w:t>
            </w:r>
          </w:p>
        </w:tc>
      </w:tr>
      <w:tr w:rsidR="00FE7FEB" w:rsidTr="00D816E6">
        <w:trPr>
          <w:trHeight w:val="525"/>
        </w:trPr>
        <w:tc>
          <w:tcPr>
            <w:tcW w:w="2203"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rPr>
                <w:rFonts w:ascii="Tahoma" w:eastAsia="Times New Roman" w:hAnsi="Tahoma" w:cs="Tahoma"/>
                <w:sz w:val="20"/>
                <w:szCs w:val="20"/>
                <w:lang w:eastAsia="tr-TR"/>
              </w:rPr>
            </w:pPr>
            <w:r>
              <w:rPr>
                <w:rFonts w:ascii="Tahoma" w:eastAsia="Times New Roman" w:hAnsi="Tahoma" w:cs="Tahoma"/>
                <w:sz w:val="20"/>
                <w:szCs w:val="20"/>
                <w:lang w:eastAsia="tr-TR"/>
              </w:rPr>
              <w:t>DOĞU AKDENİZ PETROKİMYA VE RAFİNERİ SANAYİ VE TİCARET ANONİM ŞİRKETİ*</w:t>
            </w:r>
          </w:p>
        </w:tc>
        <w:tc>
          <w:tcPr>
            <w:tcW w:w="862"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center"/>
              <w:rPr>
                <w:rFonts w:ascii="Tahoma" w:eastAsia="Times New Roman" w:hAnsi="Tahoma" w:cs="Tahoma"/>
                <w:sz w:val="20"/>
                <w:szCs w:val="20"/>
                <w:lang w:eastAsia="tr-TR"/>
              </w:rPr>
            </w:pPr>
            <w:r>
              <w:rPr>
                <w:rFonts w:ascii="Tahoma" w:eastAsia="Times New Roman" w:hAnsi="Tahoma" w:cs="Tahoma"/>
                <w:sz w:val="20"/>
                <w:szCs w:val="20"/>
                <w:lang w:eastAsia="tr-TR"/>
              </w:rPr>
              <w:t>ADANA</w:t>
            </w:r>
          </w:p>
        </w:tc>
        <w:tc>
          <w:tcPr>
            <w:tcW w:w="1025"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15.000.000*</w:t>
            </w:r>
          </w:p>
        </w:tc>
        <w:tc>
          <w:tcPr>
            <w:tcW w:w="91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 1.695.000*</w:t>
            </w:r>
          </w:p>
        </w:tc>
      </w:tr>
      <w:tr w:rsidR="00FE7FEB" w:rsidTr="00D816E6">
        <w:trPr>
          <w:trHeight w:val="315"/>
        </w:trPr>
        <w:tc>
          <w:tcPr>
            <w:tcW w:w="2203" w:type="pct"/>
            <w:tcBorders>
              <w:top w:val="nil"/>
              <w:left w:val="single" w:sz="8" w:space="0" w:color="D9D9D9"/>
              <w:bottom w:val="single" w:sz="8" w:space="0" w:color="D9D9D9"/>
              <w:right w:val="single" w:sz="8" w:space="0" w:color="D9D9D9"/>
            </w:tcBorders>
            <w:vAlign w:val="center"/>
            <w:hideMark/>
          </w:tcPr>
          <w:p w:rsidR="00FE7FEB" w:rsidRPr="00993722" w:rsidRDefault="00FE7FEB" w:rsidP="00D816E6">
            <w:pPr>
              <w:spacing w:after="0" w:line="240" w:lineRule="auto"/>
              <w:rPr>
                <w:rFonts w:ascii="Tahoma" w:eastAsia="Times New Roman" w:hAnsi="Tahoma" w:cs="Tahoma"/>
                <w:sz w:val="20"/>
                <w:szCs w:val="20"/>
                <w:lang w:val="it-IT" w:eastAsia="tr-TR"/>
              </w:rPr>
            </w:pPr>
            <w:r w:rsidRPr="00993722">
              <w:rPr>
                <w:rFonts w:ascii="Tahoma" w:eastAsia="Times New Roman" w:hAnsi="Tahoma" w:cs="Tahoma"/>
                <w:sz w:val="20"/>
                <w:szCs w:val="20"/>
                <w:lang w:val="it-IT" w:eastAsia="tr-TR"/>
              </w:rPr>
              <w:t>ERSAN PETROL SANAYİ ANONİM ŞİRKETİ*</w:t>
            </w:r>
          </w:p>
        </w:tc>
        <w:tc>
          <w:tcPr>
            <w:tcW w:w="862"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center"/>
              <w:rPr>
                <w:rFonts w:ascii="Tahoma" w:eastAsia="Times New Roman" w:hAnsi="Tahoma" w:cs="Tahoma"/>
                <w:sz w:val="20"/>
                <w:szCs w:val="20"/>
                <w:lang w:eastAsia="tr-TR"/>
              </w:rPr>
            </w:pPr>
            <w:r>
              <w:rPr>
                <w:rFonts w:ascii="Tahoma" w:eastAsia="Times New Roman" w:hAnsi="Tahoma" w:cs="Tahoma"/>
                <w:sz w:val="20"/>
                <w:szCs w:val="20"/>
                <w:lang w:eastAsia="tr-TR"/>
              </w:rPr>
              <w:t>KAHRAMANMARAŞ</w:t>
            </w:r>
          </w:p>
        </w:tc>
        <w:tc>
          <w:tcPr>
            <w:tcW w:w="1025"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1.400.000*</w:t>
            </w:r>
          </w:p>
        </w:tc>
        <w:tc>
          <w:tcPr>
            <w:tcW w:w="91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w:t>
            </w:r>
          </w:p>
        </w:tc>
      </w:tr>
      <w:tr w:rsidR="00FE7FEB" w:rsidTr="00D816E6">
        <w:trPr>
          <w:trHeight w:val="315"/>
        </w:trPr>
        <w:tc>
          <w:tcPr>
            <w:tcW w:w="2203"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rPr>
                <w:rFonts w:ascii="Tahoma" w:eastAsia="Times New Roman" w:hAnsi="Tahoma" w:cs="Tahoma"/>
                <w:sz w:val="20"/>
                <w:szCs w:val="20"/>
                <w:lang w:eastAsia="tr-TR"/>
              </w:rPr>
            </w:pPr>
            <w:r>
              <w:rPr>
                <w:rFonts w:ascii="Tahoma" w:eastAsia="Times New Roman" w:hAnsi="Tahoma" w:cs="Tahoma"/>
                <w:sz w:val="20"/>
                <w:szCs w:val="20"/>
                <w:lang w:eastAsia="tr-TR"/>
              </w:rPr>
              <w:t>STAR RAFİNERİ ANONİM ŞİRKETİ</w:t>
            </w:r>
          </w:p>
        </w:tc>
        <w:tc>
          <w:tcPr>
            <w:tcW w:w="862"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center"/>
              <w:rPr>
                <w:rFonts w:ascii="Tahoma" w:eastAsia="Times New Roman" w:hAnsi="Tahoma" w:cs="Tahoma"/>
                <w:sz w:val="20"/>
                <w:szCs w:val="20"/>
                <w:lang w:eastAsia="tr-TR"/>
              </w:rPr>
            </w:pPr>
            <w:r>
              <w:rPr>
                <w:rFonts w:ascii="Tahoma" w:eastAsia="Times New Roman" w:hAnsi="Tahoma" w:cs="Tahoma"/>
                <w:sz w:val="20"/>
                <w:szCs w:val="20"/>
                <w:lang w:eastAsia="tr-TR"/>
              </w:rPr>
              <w:t>İZMİR</w:t>
            </w:r>
          </w:p>
        </w:tc>
        <w:tc>
          <w:tcPr>
            <w:tcW w:w="1025"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10.000.000</w:t>
            </w:r>
          </w:p>
        </w:tc>
        <w:tc>
          <w:tcPr>
            <w:tcW w:w="91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1.708.543</w:t>
            </w:r>
          </w:p>
        </w:tc>
      </w:tr>
      <w:tr w:rsidR="00FE7FEB" w:rsidTr="00D816E6">
        <w:trPr>
          <w:trHeight w:val="525"/>
        </w:trPr>
        <w:tc>
          <w:tcPr>
            <w:tcW w:w="2203"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rPr>
                <w:rFonts w:ascii="Tahoma" w:eastAsia="Times New Roman" w:hAnsi="Tahoma" w:cs="Tahoma"/>
                <w:sz w:val="20"/>
                <w:szCs w:val="20"/>
                <w:lang w:eastAsia="tr-TR"/>
              </w:rPr>
            </w:pPr>
            <w:r>
              <w:rPr>
                <w:rFonts w:ascii="Tahoma" w:eastAsia="Times New Roman" w:hAnsi="Tahoma" w:cs="Tahoma"/>
                <w:sz w:val="20"/>
                <w:szCs w:val="20"/>
                <w:lang w:eastAsia="tr-TR"/>
              </w:rPr>
              <w:t>TÜPRAŞ, TÜRKİYE PETROL RAFİNERİLERİ ANONİM ŞİRKETİ</w:t>
            </w:r>
          </w:p>
        </w:tc>
        <w:tc>
          <w:tcPr>
            <w:tcW w:w="862"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center"/>
              <w:rPr>
                <w:rFonts w:ascii="Tahoma" w:eastAsia="Times New Roman" w:hAnsi="Tahoma" w:cs="Tahoma"/>
                <w:sz w:val="20"/>
                <w:szCs w:val="20"/>
                <w:lang w:eastAsia="tr-TR"/>
              </w:rPr>
            </w:pPr>
            <w:r>
              <w:rPr>
                <w:rFonts w:ascii="Tahoma" w:eastAsia="Times New Roman" w:hAnsi="Tahoma" w:cs="Tahoma"/>
                <w:sz w:val="20"/>
                <w:szCs w:val="20"/>
                <w:lang w:eastAsia="tr-TR"/>
              </w:rPr>
              <w:t>İZMİR</w:t>
            </w:r>
          </w:p>
        </w:tc>
        <w:tc>
          <w:tcPr>
            <w:tcW w:w="1025"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11.000.000</w:t>
            </w:r>
          </w:p>
        </w:tc>
        <w:tc>
          <w:tcPr>
            <w:tcW w:w="91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2.508.219</w:t>
            </w:r>
          </w:p>
        </w:tc>
      </w:tr>
      <w:tr w:rsidR="00FE7FEB" w:rsidTr="00D816E6">
        <w:trPr>
          <w:trHeight w:val="525"/>
        </w:trPr>
        <w:tc>
          <w:tcPr>
            <w:tcW w:w="2203"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rPr>
                <w:rFonts w:ascii="Tahoma" w:eastAsia="Times New Roman" w:hAnsi="Tahoma" w:cs="Tahoma"/>
                <w:sz w:val="20"/>
                <w:szCs w:val="20"/>
                <w:lang w:eastAsia="tr-TR"/>
              </w:rPr>
            </w:pPr>
            <w:r>
              <w:rPr>
                <w:rFonts w:ascii="Tahoma" w:eastAsia="Times New Roman" w:hAnsi="Tahoma" w:cs="Tahoma"/>
                <w:sz w:val="20"/>
                <w:szCs w:val="20"/>
                <w:lang w:eastAsia="tr-TR"/>
              </w:rPr>
              <w:t>TÜPRAŞ, TÜRKİYE PETROL RAFİNERİLERİ ANONİM ŞİRKETİ</w:t>
            </w:r>
          </w:p>
        </w:tc>
        <w:tc>
          <w:tcPr>
            <w:tcW w:w="862"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center"/>
              <w:rPr>
                <w:rFonts w:ascii="Tahoma" w:eastAsia="Times New Roman" w:hAnsi="Tahoma" w:cs="Tahoma"/>
                <w:sz w:val="20"/>
                <w:szCs w:val="20"/>
                <w:lang w:eastAsia="tr-TR"/>
              </w:rPr>
            </w:pPr>
            <w:r>
              <w:rPr>
                <w:rFonts w:ascii="Tahoma" w:eastAsia="Times New Roman" w:hAnsi="Tahoma" w:cs="Tahoma"/>
                <w:sz w:val="20"/>
                <w:szCs w:val="20"/>
                <w:lang w:eastAsia="tr-TR"/>
              </w:rPr>
              <w:t>KOCAELİ</w:t>
            </w:r>
          </w:p>
        </w:tc>
        <w:tc>
          <w:tcPr>
            <w:tcW w:w="1025"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11.000.000</w:t>
            </w:r>
          </w:p>
        </w:tc>
        <w:tc>
          <w:tcPr>
            <w:tcW w:w="91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2.996.192</w:t>
            </w:r>
          </w:p>
        </w:tc>
      </w:tr>
      <w:tr w:rsidR="00FE7FEB" w:rsidTr="00D816E6">
        <w:trPr>
          <w:trHeight w:val="525"/>
        </w:trPr>
        <w:tc>
          <w:tcPr>
            <w:tcW w:w="2203"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rPr>
                <w:rFonts w:ascii="Tahoma" w:eastAsia="Times New Roman" w:hAnsi="Tahoma" w:cs="Tahoma"/>
                <w:sz w:val="20"/>
                <w:szCs w:val="20"/>
                <w:lang w:eastAsia="tr-TR"/>
              </w:rPr>
            </w:pPr>
            <w:r>
              <w:rPr>
                <w:rFonts w:ascii="Tahoma" w:eastAsia="Times New Roman" w:hAnsi="Tahoma" w:cs="Tahoma"/>
                <w:sz w:val="20"/>
                <w:szCs w:val="20"/>
                <w:lang w:eastAsia="tr-TR"/>
              </w:rPr>
              <w:t>TÜPRAŞ, TÜRKİYE PETROL RAFİNERİLERİ ANONİM ŞİRKETİ</w:t>
            </w:r>
          </w:p>
        </w:tc>
        <w:tc>
          <w:tcPr>
            <w:tcW w:w="862"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center"/>
              <w:rPr>
                <w:rFonts w:ascii="Tahoma" w:eastAsia="Times New Roman" w:hAnsi="Tahoma" w:cs="Tahoma"/>
                <w:sz w:val="20"/>
                <w:szCs w:val="20"/>
                <w:lang w:eastAsia="tr-TR"/>
              </w:rPr>
            </w:pPr>
            <w:r>
              <w:rPr>
                <w:rFonts w:ascii="Tahoma" w:eastAsia="Times New Roman" w:hAnsi="Tahoma" w:cs="Tahoma"/>
                <w:sz w:val="20"/>
                <w:szCs w:val="20"/>
                <w:lang w:eastAsia="tr-TR"/>
              </w:rPr>
              <w:t>KIRIKKALE</w:t>
            </w:r>
          </w:p>
        </w:tc>
        <w:tc>
          <w:tcPr>
            <w:tcW w:w="1025"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5.000.000</w:t>
            </w:r>
          </w:p>
        </w:tc>
        <w:tc>
          <w:tcPr>
            <w:tcW w:w="91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1.267.985</w:t>
            </w:r>
          </w:p>
        </w:tc>
      </w:tr>
      <w:tr w:rsidR="00FE7FEB" w:rsidTr="00D816E6">
        <w:trPr>
          <w:trHeight w:val="525"/>
        </w:trPr>
        <w:tc>
          <w:tcPr>
            <w:tcW w:w="2203" w:type="pc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rPr>
                <w:rFonts w:ascii="Tahoma" w:eastAsia="Times New Roman" w:hAnsi="Tahoma" w:cs="Tahoma"/>
                <w:sz w:val="20"/>
                <w:szCs w:val="20"/>
                <w:lang w:eastAsia="tr-TR"/>
              </w:rPr>
            </w:pPr>
            <w:r>
              <w:rPr>
                <w:rFonts w:ascii="Tahoma" w:eastAsia="Times New Roman" w:hAnsi="Tahoma" w:cs="Tahoma"/>
                <w:sz w:val="20"/>
                <w:szCs w:val="20"/>
                <w:lang w:eastAsia="tr-TR"/>
              </w:rPr>
              <w:t>TÜPRAŞ, TÜRKİYE PETROL RAFİNERİLERİ ANONİM ŞİRKETİ</w:t>
            </w:r>
          </w:p>
        </w:tc>
        <w:tc>
          <w:tcPr>
            <w:tcW w:w="862"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center"/>
              <w:rPr>
                <w:rFonts w:ascii="Tahoma" w:eastAsia="Times New Roman" w:hAnsi="Tahoma" w:cs="Tahoma"/>
                <w:sz w:val="20"/>
                <w:szCs w:val="20"/>
                <w:lang w:eastAsia="tr-TR"/>
              </w:rPr>
            </w:pPr>
            <w:r>
              <w:rPr>
                <w:rFonts w:ascii="Tahoma" w:eastAsia="Times New Roman" w:hAnsi="Tahoma" w:cs="Tahoma"/>
                <w:sz w:val="20"/>
                <w:szCs w:val="20"/>
                <w:lang w:eastAsia="tr-TR"/>
              </w:rPr>
              <w:t>BATMAN</w:t>
            </w:r>
          </w:p>
        </w:tc>
        <w:tc>
          <w:tcPr>
            <w:tcW w:w="1025"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1.351.477</w:t>
            </w:r>
          </w:p>
        </w:tc>
        <w:tc>
          <w:tcPr>
            <w:tcW w:w="910"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Tahoma" w:eastAsia="Times New Roman" w:hAnsi="Tahoma" w:cs="Tahoma"/>
                <w:sz w:val="20"/>
                <w:szCs w:val="20"/>
                <w:lang w:eastAsia="tr-TR"/>
              </w:rPr>
            </w:pPr>
            <w:r>
              <w:rPr>
                <w:rFonts w:ascii="Tahoma" w:eastAsia="Times New Roman" w:hAnsi="Tahoma" w:cs="Tahoma"/>
                <w:sz w:val="20"/>
                <w:szCs w:val="20"/>
                <w:lang w:eastAsia="tr-TR"/>
              </w:rPr>
              <w:t>268.265</w:t>
            </w:r>
          </w:p>
        </w:tc>
      </w:tr>
    </w:tbl>
    <w:p w:rsidR="00FE7FEB" w:rsidRPr="00822B0A" w:rsidRDefault="00FE7FEB" w:rsidP="00FE7FEB">
      <w:pPr>
        <w:spacing w:after="0"/>
        <w:jc w:val="both"/>
        <w:rPr>
          <w:color w:val="000000" w:themeColor="text1"/>
          <w:sz w:val="20"/>
          <w:szCs w:val="20"/>
        </w:rPr>
      </w:pPr>
      <w:r w:rsidRPr="00822B0A">
        <w:rPr>
          <w:color w:val="000000" w:themeColor="text1"/>
          <w:sz w:val="20"/>
          <w:szCs w:val="20"/>
        </w:rPr>
        <w:t>*</w:t>
      </w:r>
      <w:r>
        <w:rPr>
          <w:color w:val="000000" w:themeColor="text1"/>
          <w:sz w:val="20"/>
          <w:szCs w:val="20"/>
        </w:rPr>
        <w:t>F</w:t>
      </w:r>
      <w:r w:rsidRPr="00822B0A">
        <w:rPr>
          <w:color w:val="000000" w:themeColor="text1"/>
          <w:sz w:val="20"/>
          <w:szCs w:val="20"/>
        </w:rPr>
        <w:t>acilities are not in operation yet</w:t>
      </w:r>
    </w:p>
    <w:p w:rsidR="00FE7FEB" w:rsidRPr="000913D1" w:rsidRDefault="00FE7FEB" w:rsidP="00FE7FEB"/>
    <w:p w:rsidR="00FE7FEB" w:rsidRPr="00542DD6" w:rsidRDefault="00FE7FEB" w:rsidP="00542DD6">
      <w:pPr>
        <w:pStyle w:val="Balk5"/>
      </w:pPr>
      <w:bookmarkStart w:id="102" w:name="_Toc505346070"/>
      <w:bookmarkStart w:id="103" w:name="_Toc514251651"/>
      <w:r w:rsidRPr="00542DD6">
        <w:rPr>
          <w:rStyle w:val="Gl"/>
          <w:b/>
          <w:bCs w:val="0"/>
        </w:rPr>
        <w:t xml:space="preserve">         </w:t>
      </w:r>
      <w:bookmarkStart w:id="104" w:name="_Toc12958478"/>
      <w:r w:rsidRPr="00542DD6">
        <w:rPr>
          <w:rStyle w:val="Gl"/>
          <w:b/>
          <w:bCs w:val="0"/>
        </w:rPr>
        <w:t>Table 3.8: Information on Petroleum Market Storage Licenses as of the end of 2018</w:t>
      </w:r>
      <w:bookmarkEnd w:id="104"/>
    </w:p>
    <w:tbl>
      <w:tblPr>
        <w:tblW w:w="3452" w:type="pct"/>
        <w:tblInd w:w="1488" w:type="dxa"/>
        <w:tblCellMar>
          <w:left w:w="70" w:type="dxa"/>
          <w:right w:w="70" w:type="dxa"/>
        </w:tblCellMar>
        <w:tblLook w:val="04A0" w:firstRow="1" w:lastRow="0" w:firstColumn="1" w:lastColumn="0" w:noHBand="0" w:noVBand="1"/>
      </w:tblPr>
      <w:tblGrid>
        <w:gridCol w:w="1479"/>
        <w:gridCol w:w="2287"/>
        <w:gridCol w:w="2825"/>
      </w:tblGrid>
      <w:tr w:rsidR="00FE7FEB" w:rsidTr="00D816E6">
        <w:trPr>
          <w:trHeight w:val="1815"/>
        </w:trPr>
        <w:tc>
          <w:tcPr>
            <w:tcW w:w="1122"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val="tr-TR" w:eastAsia="tr-TR"/>
              </w:rPr>
            </w:pPr>
            <w:r w:rsidRPr="000E3C7E">
              <w:rPr>
                <w:rFonts w:eastAsia="Times New Roman" w:cs="Arial"/>
                <w:b/>
                <w:bCs/>
                <w:color w:val="FFFFFF"/>
                <w:lang w:eastAsia="tr-TR"/>
              </w:rPr>
              <w:t>Province of the facility</w:t>
            </w:r>
          </w:p>
        </w:tc>
        <w:tc>
          <w:tcPr>
            <w:tcW w:w="1735"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sidRPr="000E3C7E">
              <w:rPr>
                <w:rFonts w:eastAsia="Times New Roman" w:cs="Arial"/>
                <w:b/>
                <w:bCs/>
                <w:color w:val="FFFFFF"/>
                <w:lang w:eastAsia="tr-TR"/>
              </w:rPr>
              <w:t>Total capacity (m3)</w:t>
            </w:r>
          </w:p>
        </w:tc>
        <w:tc>
          <w:tcPr>
            <w:tcW w:w="2143"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sidRPr="000E3C7E">
              <w:rPr>
                <w:rFonts w:eastAsia="Times New Roman" w:cs="Arial"/>
                <w:b/>
                <w:bCs/>
                <w:color w:val="FFFFFF"/>
                <w:lang w:eastAsia="tr-TR"/>
              </w:rPr>
              <w:t>Share in Total Storage Capacity(%)</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ADANA</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2.568</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0,05</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ANKARA</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45.505</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0,84</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ANTALYA</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393.891</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7,27</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ARTVİN</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31.500</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0,58</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BURSA</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2.000</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0,04</w:t>
            </w:r>
          </w:p>
        </w:tc>
      </w:tr>
      <w:tr w:rsidR="00FE7FEB" w:rsidTr="00D816E6">
        <w:trPr>
          <w:trHeight w:val="6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ÇANAKKALE</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8.581</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0,16</w:t>
            </w:r>
          </w:p>
        </w:tc>
      </w:tr>
      <w:tr w:rsidR="00FE7FEB" w:rsidTr="00D816E6">
        <w:trPr>
          <w:trHeight w:val="6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DİYARBAKIR</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9.256</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0,17</w:t>
            </w:r>
          </w:p>
        </w:tc>
      </w:tr>
      <w:tr w:rsidR="00FE7FEB" w:rsidTr="00D816E6">
        <w:trPr>
          <w:trHeight w:val="6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GAZİANTEP</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9.339</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0,17</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GİRESUN</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43.130</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0,8</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HATAY</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315.841</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5,83</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ISPARTA</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728</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0,01</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MERSİN</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1.702.244</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31,43</w:t>
            </w:r>
          </w:p>
        </w:tc>
      </w:tr>
      <w:tr w:rsidR="00FE7FEB" w:rsidTr="00D816E6">
        <w:trPr>
          <w:trHeight w:val="6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İSTANBUL</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244.854</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4,52</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İZMİR</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475.266</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8,77</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KAYSERİ</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789</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0,01</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KOCAELİ</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743.108</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13,72</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MUĞLA</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16.525</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0,31</w:t>
            </w:r>
          </w:p>
        </w:tc>
      </w:tr>
      <w:tr w:rsidR="00FE7FEB" w:rsidTr="00D816E6">
        <w:trPr>
          <w:trHeight w:val="6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NEVŞEHİR</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1.091</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0,02</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SAMSUN</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191.890</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3,54</w:t>
            </w:r>
          </w:p>
        </w:tc>
      </w:tr>
      <w:tr w:rsidR="00FE7FEB" w:rsidTr="00D816E6">
        <w:trPr>
          <w:trHeight w:val="6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TEKİRDAĞ</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860.832</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15,89</w:t>
            </w:r>
          </w:p>
        </w:tc>
      </w:tr>
      <w:tr w:rsidR="00FE7FEB" w:rsidTr="00D816E6">
        <w:trPr>
          <w:trHeight w:val="6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TRABZON</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143.262</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2,65</w:t>
            </w:r>
          </w:p>
        </w:tc>
      </w:tr>
      <w:tr w:rsidR="00FE7FEB" w:rsidTr="00D816E6">
        <w:trPr>
          <w:trHeight w:val="6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KIRIKKALE</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164.795</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3,04</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BATMAN</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9.347</w:t>
            </w:r>
          </w:p>
        </w:tc>
        <w:tc>
          <w:tcPr>
            <w:tcW w:w="214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0,17</w:t>
            </w:r>
          </w:p>
        </w:tc>
      </w:tr>
      <w:tr w:rsidR="00FE7FEB" w:rsidTr="00D816E6">
        <w:trPr>
          <w:trHeight w:val="315"/>
        </w:trPr>
        <w:tc>
          <w:tcPr>
            <w:tcW w:w="1122"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Tahoma" w:eastAsia="Times New Roman" w:hAnsi="Tahoma" w:cs="Tahoma"/>
                <w:b/>
                <w:bCs/>
                <w:sz w:val="20"/>
                <w:szCs w:val="20"/>
                <w:lang w:eastAsia="tr-TR"/>
              </w:rPr>
            </w:pPr>
            <w:r>
              <w:rPr>
                <w:rFonts w:ascii="Tahoma" w:eastAsia="Times New Roman" w:hAnsi="Tahoma" w:cs="Tahoma"/>
                <w:b/>
                <w:bCs/>
                <w:sz w:val="20"/>
                <w:szCs w:val="20"/>
                <w:lang w:eastAsia="tr-TR"/>
              </w:rPr>
              <w:t>Total</w:t>
            </w:r>
          </w:p>
        </w:tc>
        <w:tc>
          <w:tcPr>
            <w:tcW w:w="1735"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5.416.342</w:t>
            </w:r>
          </w:p>
        </w:tc>
        <w:tc>
          <w:tcPr>
            <w:tcW w:w="2143"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Tahoma" w:eastAsia="Times New Roman" w:hAnsi="Tahoma" w:cs="Tahoma"/>
                <w:b/>
                <w:bCs/>
                <w:sz w:val="20"/>
                <w:szCs w:val="20"/>
                <w:lang w:eastAsia="tr-TR"/>
              </w:rPr>
            </w:pPr>
            <w:r>
              <w:rPr>
                <w:rFonts w:ascii="Tahoma" w:eastAsia="Times New Roman" w:hAnsi="Tahoma" w:cs="Tahoma"/>
                <w:b/>
                <w:bCs/>
                <w:sz w:val="20"/>
                <w:szCs w:val="20"/>
                <w:lang w:eastAsia="tr-TR"/>
              </w:rPr>
              <w:t>100</w:t>
            </w:r>
          </w:p>
        </w:tc>
      </w:tr>
    </w:tbl>
    <w:p w:rsidR="00FE7FEB" w:rsidRPr="00822B0A" w:rsidRDefault="00FE7FEB" w:rsidP="00FE7FEB">
      <w:pPr>
        <w:spacing w:after="0"/>
        <w:ind w:left="708" w:firstLine="708"/>
        <w:jc w:val="both"/>
      </w:pPr>
      <w:r w:rsidRPr="00822B0A">
        <w:t>*Storage capacities under the title of distributor and bunker delivery licenses are included.</w:t>
      </w:r>
    </w:p>
    <w:p w:rsidR="00FE7FEB" w:rsidRDefault="00FE7FEB" w:rsidP="00FE7FEB"/>
    <w:p w:rsidR="00FE7FEB" w:rsidRPr="004530BB" w:rsidRDefault="00FE7FEB" w:rsidP="004530BB">
      <w:pPr>
        <w:pStyle w:val="Balk3"/>
      </w:pPr>
      <w:bookmarkStart w:id="105" w:name="_Toc12956325"/>
      <w:bookmarkStart w:id="106" w:name="_Toc442431262"/>
      <w:bookmarkStart w:id="107" w:name="_Toc514251640"/>
      <w:r w:rsidRPr="004530BB">
        <w:t>3.3.1.Procedures regarding the non- petroleum products authorizations</w:t>
      </w:r>
      <w:bookmarkEnd w:id="105"/>
      <w:r w:rsidRPr="004530BB">
        <w:t xml:space="preserve"> </w:t>
      </w:r>
      <w:bookmarkEnd w:id="106"/>
      <w:bookmarkEnd w:id="107"/>
    </w:p>
    <w:p w:rsidR="00FE7FEB" w:rsidRDefault="00FE7FEB" w:rsidP="00FE7FEB">
      <w:r w:rsidRPr="00822B0A">
        <w:t>“Communiqué on the Principles a</w:t>
      </w:r>
      <w:r>
        <w:t>nd Procedures for Supply of non-</w:t>
      </w:r>
      <w:r w:rsidRPr="00822B0A">
        <w:t>petroleum poducts from domestic and foreign sourecs” was published in the Offcial Gazette dated 24/04/2013 and numbered 28627. Accordingly, with the condition of getting a letter of conformity from E</w:t>
      </w:r>
      <w:r>
        <w:t>MRA, the domestic supply of non-</w:t>
      </w:r>
      <w:r w:rsidRPr="00822B0A">
        <w:t xml:space="preserve">petroleum products </w:t>
      </w:r>
      <w:r>
        <w:t>can</w:t>
      </w:r>
      <w:r w:rsidRPr="00822B0A">
        <w:t xml:space="preserve"> be done by industrialists and the import shall be made directly by industrialists or by exporters on behalf of industralists</w:t>
      </w:r>
      <w:r>
        <w:t>.</w:t>
      </w:r>
      <w:r w:rsidRPr="00377810">
        <w:t xml:space="preserve"> Within the scope of the Communiqué, 1</w:t>
      </w:r>
      <w:r>
        <w:t>.</w:t>
      </w:r>
      <w:r w:rsidRPr="00377810">
        <w:t>005 Certificates of Conformity were issued in 2018.</w:t>
      </w:r>
    </w:p>
    <w:p w:rsidR="00FE7FEB" w:rsidRPr="00377810" w:rsidRDefault="00FE7FEB" w:rsidP="004530BB">
      <w:pPr>
        <w:pStyle w:val="Balk3"/>
      </w:pPr>
      <w:bookmarkStart w:id="108" w:name="_Toc12956326"/>
      <w:r w:rsidRPr="00026B4E">
        <w:t>3.3.2.Automation Works for License Holders</w:t>
      </w:r>
      <w:bookmarkEnd w:id="108"/>
    </w:p>
    <w:p w:rsidR="00FE7FEB" w:rsidRPr="00906126" w:rsidRDefault="00FE7FEB" w:rsidP="004530BB">
      <w:pPr>
        <w:pStyle w:val="Balk4"/>
      </w:pPr>
      <w:r w:rsidRPr="00906126">
        <w:t xml:space="preserve">3.3.2.1.National Marker </w:t>
      </w:r>
    </w:p>
    <w:p w:rsidR="00FE7FEB" w:rsidRDefault="00FE7FEB" w:rsidP="00FE7FEB">
      <w:r>
        <w:t>In accordance with Article 18 of the Petroleum Market Law No. 5015 and Regulation on the Application of the National Marker on the Petroleum Market in order to prevent the illegal and non-standard product sales by determining whether the petroleum circulating in our country is entering the market through legitimate means, the National Marker application started on 01/01/2007.</w:t>
      </w:r>
    </w:p>
    <w:p w:rsidR="00FE7FEB" w:rsidRDefault="00FE7FEB" w:rsidP="00FE7FEB">
      <w:r w:rsidRPr="00906126">
        <w:t>Within the scope of the implementation, the amount of fuel delivered to the related license holders in 2018 and marked with UM is given in the table below.</w:t>
      </w:r>
    </w:p>
    <w:p w:rsidR="00FE7FEB" w:rsidRDefault="00FE7FEB" w:rsidP="00FE7FEB"/>
    <w:p w:rsidR="00FE7FEB" w:rsidRPr="00542DD6" w:rsidRDefault="00FE7FEB" w:rsidP="00542DD6">
      <w:pPr>
        <w:pStyle w:val="Balk5"/>
      </w:pPr>
      <w:bookmarkStart w:id="109" w:name="_Toc12958479"/>
      <w:r w:rsidRPr="00542DD6">
        <w:rPr>
          <w:rStyle w:val="Gl"/>
          <w:b/>
          <w:bCs w:val="0"/>
        </w:rPr>
        <w:t>Table 3.9: Used National Marker and Marked Liquid Fuel Amounts by years</w:t>
      </w:r>
      <w:bookmarkEnd w:id="109"/>
    </w:p>
    <w:tbl>
      <w:tblPr>
        <w:tblW w:w="5000" w:type="pct"/>
        <w:tblCellMar>
          <w:left w:w="70" w:type="dxa"/>
          <w:right w:w="70" w:type="dxa"/>
        </w:tblCellMar>
        <w:tblLook w:val="04A0" w:firstRow="1" w:lastRow="0" w:firstColumn="1" w:lastColumn="0" w:noHBand="0" w:noVBand="1"/>
      </w:tblPr>
      <w:tblGrid>
        <w:gridCol w:w="587"/>
        <w:gridCol w:w="1134"/>
        <w:gridCol w:w="1151"/>
        <w:gridCol w:w="1047"/>
        <w:gridCol w:w="1135"/>
        <w:gridCol w:w="1169"/>
        <w:gridCol w:w="2154"/>
        <w:gridCol w:w="1169"/>
      </w:tblGrid>
      <w:tr w:rsidR="00FE7FEB" w:rsidTr="00D816E6">
        <w:trPr>
          <w:trHeight w:val="20"/>
          <w:tblHeader/>
        </w:trPr>
        <w:tc>
          <w:tcPr>
            <w:tcW w:w="856" w:type="pct"/>
            <w:tcBorders>
              <w:top w:val="single" w:sz="8" w:space="0" w:color="D9D9D9"/>
              <w:left w:val="single" w:sz="8" w:space="0" w:color="D9D9D9"/>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0"/>
                <w:szCs w:val="20"/>
                <w:lang w:val="tr-TR" w:eastAsia="tr-TR"/>
              </w:rPr>
            </w:pPr>
            <w:r w:rsidRPr="00EE4595">
              <w:rPr>
                <w:rFonts w:eastAsia="Times New Roman"/>
                <w:b/>
                <w:bCs/>
                <w:color w:val="FFFFFF" w:themeColor="background1"/>
                <w:lang w:eastAsia="tr-TR"/>
              </w:rPr>
              <w:t>Years</w:t>
            </w:r>
          </w:p>
        </w:tc>
        <w:tc>
          <w:tcPr>
            <w:tcW w:w="494"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0"/>
                <w:szCs w:val="20"/>
                <w:lang w:eastAsia="tr-TR"/>
              </w:rPr>
            </w:pPr>
            <w:r w:rsidRPr="00EE4595">
              <w:rPr>
                <w:rFonts w:eastAsia="Times New Roman"/>
                <w:b/>
                <w:bCs/>
                <w:color w:val="FFFFFF" w:themeColor="background1"/>
                <w:lang w:eastAsia="tr-TR"/>
              </w:rPr>
              <w:t>License Type</w:t>
            </w:r>
          </w:p>
        </w:tc>
        <w:tc>
          <w:tcPr>
            <w:tcW w:w="569"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rPr>
                <w:rFonts w:ascii="Calibri" w:eastAsia="Times New Roman" w:hAnsi="Calibri"/>
                <w:b/>
                <w:bCs/>
                <w:color w:val="FFFFFF"/>
                <w:sz w:val="20"/>
                <w:szCs w:val="20"/>
                <w:lang w:eastAsia="tr-TR"/>
              </w:rPr>
            </w:pPr>
            <w:r w:rsidRPr="00EE4595">
              <w:rPr>
                <w:rFonts w:eastAsia="Times New Roman"/>
                <w:b/>
                <w:bCs/>
                <w:color w:val="FFFFFF" w:themeColor="background1"/>
                <w:lang w:eastAsia="tr-TR"/>
              </w:rPr>
              <w:t>Amount of NM delivered(lt)</w:t>
            </w:r>
          </w:p>
        </w:tc>
        <w:tc>
          <w:tcPr>
            <w:tcW w:w="569"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rPr>
                <w:rFonts w:ascii="Calibri" w:eastAsia="Times New Roman" w:hAnsi="Calibri"/>
                <w:b/>
                <w:bCs/>
                <w:color w:val="FFFFFF"/>
                <w:sz w:val="20"/>
                <w:szCs w:val="20"/>
                <w:lang w:eastAsia="tr-TR"/>
              </w:rPr>
            </w:pPr>
            <w:r w:rsidRPr="00EE4595">
              <w:rPr>
                <w:rFonts w:eastAsia="Times New Roman"/>
                <w:b/>
                <w:bCs/>
                <w:color w:val="FFFFFF" w:themeColor="background1"/>
                <w:lang w:eastAsia="tr-TR"/>
              </w:rPr>
              <w:t>Used NM Amount(lt)</w:t>
            </w:r>
          </w:p>
        </w:tc>
        <w:tc>
          <w:tcPr>
            <w:tcW w:w="616"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0"/>
                <w:szCs w:val="20"/>
                <w:lang w:eastAsia="tr-TR"/>
              </w:rPr>
            </w:pPr>
            <w:r w:rsidRPr="00EE4595">
              <w:rPr>
                <w:rFonts w:eastAsia="Times New Roman"/>
                <w:b/>
                <w:bCs/>
                <w:color w:val="FFFFFF" w:themeColor="background1"/>
                <w:lang w:eastAsia="tr-TR"/>
              </w:rPr>
              <w:t>Marked benzene amount(m³)</w:t>
            </w:r>
          </w:p>
        </w:tc>
        <w:tc>
          <w:tcPr>
            <w:tcW w:w="663"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0"/>
                <w:szCs w:val="20"/>
                <w:lang w:eastAsia="tr-TR"/>
              </w:rPr>
            </w:pPr>
            <w:r w:rsidRPr="00EE4595">
              <w:rPr>
                <w:rFonts w:eastAsia="Times New Roman"/>
                <w:b/>
                <w:bCs/>
                <w:color w:val="FFFFFF" w:themeColor="background1"/>
                <w:lang w:eastAsia="tr-TR"/>
              </w:rPr>
              <w:t>Marked diesel amount(m³)</w:t>
            </w:r>
          </w:p>
        </w:tc>
        <w:tc>
          <w:tcPr>
            <w:tcW w:w="569"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0"/>
                <w:szCs w:val="20"/>
                <w:lang w:eastAsia="tr-TR"/>
              </w:rPr>
            </w:pPr>
            <w:r w:rsidRPr="00EE4595">
              <w:rPr>
                <w:rFonts w:eastAsia="Times New Roman"/>
                <w:b/>
                <w:bCs/>
                <w:color w:val="FFFFFF" w:themeColor="background1"/>
                <w:lang w:eastAsia="tr-TR"/>
              </w:rPr>
              <w:t>Marked biodiesel/ethanol/gasoil amount(m³)</w:t>
            </w:r>
          </w:p>
        </w:tc>
        <w:tc>
          <w:tcPr>
            <w:tcW w:w="663" w:type="pct"/>
            <w:tcBorders>
              <w:top w:val="single" w:sz="8" w:space="0" w:color="D9D9D9"/>
              <w:left w:val="nil"/>
              <w:bottom w:val="single" w:sz="8" w:space="0" w:color="D9D9D9"/>
              <w:right w:val="single" w:sz="8" w:space="0" w:color="D9D9D9"/>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0"/>
                <w:szCs w:val="20"/>
                <w:lang w:eastAsia="tr-TR"/>
              </w:rPr>
            </w:pPr>
            <w:r w:rsidRPr="00EE4595">
              <w:rPr>
                <w:rFonts w:eastAsia="Times New Roman"/>
                <w:b/>
                <w:bCs/>
                <w:color w:val="FFFFFF" w:themeColor="background1"/>
                <w:lang w:eastAsia="tr-TR"/>
              </w:rPr>
              <w:t>Total Marked Liquid Fuel Amount(m³)</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2007</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105.502,64</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100.936,65</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2.550.960,00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9.813.110,00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12.364.070,00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63.270,89</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56.522,89</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751.636,00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6.247.129,00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26.719,00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7.025.484,00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168.773,53</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157.459,54</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3.302.596,00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16.060.239,00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26.719,00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19.389.554,00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2008</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99.646,23</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97.632,10</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2.632.398,00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9.527.443,00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12.159.841,00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58.378,19</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58.724,41</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394.211,00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6.843.603,00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18.568,00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7.256.382,00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158.024,42</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156.356,51</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3.026.609,00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16.371.046,00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18.568,00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19.416.223,00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2009</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87.617,32</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88.218,87</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2.675.966,00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8.320.760,00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10.996.726,00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66.726,45</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66.141,29</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276.821,00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7.975.514,00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12.231,00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8.264.566,00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154.343,77</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154.360,16</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2.952.787,00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16.296.274,00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12.231,00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19.261.292,00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2010</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79.641,87</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79.614,98</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2.380.445,00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7.571.627,00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9.952.072,00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80.050,80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78.335,93</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367.442,00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9.405.426,00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18.591,00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9.791.459,00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159.692,67</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157.950,90</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2.747.888,00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16.977.053,00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18.591,00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19.743.532,00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2011</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91.993,00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92.304,00</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2.413.099,00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9.124.916,00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11.538.015,00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72.401,00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72.963,00</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193.624,00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8.903.953,00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22.982,00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9.120.559,00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164.394,00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165.267,00</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2.606.723,00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18.028.869,00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22.982,00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20.658.574,00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2012</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99.958,02</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98.531,33</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2.398.835,00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9.917.338,00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237,00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12.316.410,00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74.187,38</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74.738,16</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66.004,00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9.245.186,00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30.915,00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9.342.105,00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174.145,40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173.269,49</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2.464.839,00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19.162.524,00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31.152,00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21.658.515,00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2013</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94.351,72</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94.683,00</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2.438.404,00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9.361.800,00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7.140,00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11.807.344,00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95.664,74</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90.253,68</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17.806,00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11.180.726,00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68.796,00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11.267.328,00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190.016,47</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184.936,69</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2.456.210,00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20.542.526,00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75.936,00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23.074.672,00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2014</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83.288,36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82.046,06</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2.464.564,00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7.731.514,00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59.754,00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10.255.832,00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110.635,56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109.330,47</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2.051,00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13.558.513,00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105.822,00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13.666.386,00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193.923,93</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191.376,54</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2.466.616,00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21.290.027,00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165.577,00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23.922.220,00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2015</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108.111,46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108.536,59</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2.823.176,00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10.664.398,00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79.484,00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13.567.058,00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108.758,10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109.350,88</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13.516.467,00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152.793,00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13.669.260,00</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216.869,56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217.887,47</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2.823.176,00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24.180.865,00</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232.277,00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27.236.318,00</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2016</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124.068,39</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126.088,45</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2.918.536,74</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12.814.129,71</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28.389,19</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15.761.055,64</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111.493,34</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108.872,34</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13.455.607,96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153.577,87</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13.609.185,83</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235.561,73</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234.960,79</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2.918.536,74</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26.269.737,67</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181.967,06</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29.370.241,47</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2017</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133.762,01</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130.937,80</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2.982.718,02</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13.369.035,61</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15.473,43</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16.367.227,06</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119.137,46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117.971,15</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14.588.287,66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158.433,03</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14.746.720,69</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252.899,47</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248.908,95</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2.982.718,02</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27.957.323,26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173.906,46</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31.113.947,74</w:t>
            </w:r>
          </w:p>
        </w:tc>
      </w:tr>
      <w:tr w:rsidR="00FE7FEB" w:rsidTr="00D816E6">
        <w:trPr>
          <w:trHeight w:val="20"/>
        </w:trPr>
        <w:tc>
          <w:tcPr>
            <w:tcW w:w="856" w:type="pct"/>
            <w:vMerge w:val="restart"/>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2018</w:t>
            </w: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Refining Undertaking</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137.217,16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136.097,38</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3.033.684,35</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13.966.248,42</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12.237,88</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17.012.170,64</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Distributors</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107.606,46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108.945,34</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0,00</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13.412.442,25</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205.871,57</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13.618.313,81</w:t>
            </w:r>
          </w:p>
        </w:tc>
      </w:tr>
      <w:tr w:rsidR="00FE7FEB" w:rsidTr="00D816E6">
        <w:trPr>
          <w:trHeight w:val="20"/>
        </w:trPr>
        <w:tc>
          <w:tcPr>
            <w:tcW w:w="0" w:type="auto"/>
            <w:vMerge/>
            <w:tcBorders>
              <w:top w:val="nil"/>
              <w:left w:val="single" w:sz="8" w:space="0" w:color="D9D9D9"/>
              <w:bottom w:val="single" w:sz="8" w:space="0" w:color="D9D9D9"/>
              <w:right w:val="single" w:sz="8" w:space="0" w:color="D9D9D9"/>
            </w:tcBorders>
            <w:vAlign w:val="center"/>
            <w:hideMark/>
          </w:tcPr>
          <w:p w:rsidR="00FE7FEB" w:rsidRDefault="00FE7FEB" w:rsidP="00D816E6">
            <w:pPr>
              <w:spacing w:after="0"/>
              <w:rPr>
                <w:rFonts w:ascii="Calibri" w:eastAsia="Times New Roman" w:hAnsi="Calibri"/>
                <w:lang w:eastAsia="tr-TR"/>
              </w:rPr>
            </w:pPr>
          </w:p>
        </w:tc>
        <w:tc>
          <w:tcPr>
            <w:tcW w:w="494"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both"/>
              <w:rPr>
                <w:rFonts w:ascii="Calibri" w:eastAsia="Times New Roman" w:hAnsi="Calibri"/>
                <w:sz w:val="20"/>
                <w:szCs w:val="20"/>
                <w:lang w:eastAsia="tr-TR"/>
              </w:rPr>
            </w:pPr>
            <w:r w:rsidRPr="00EE4595">
              <w:rPr>
                <w:rFonts w:eastAsia="Times New Roman"/>
                <w:color w:val="000000"/>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244.823,61</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245.042,72</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3.033.684,35</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27.378.690,66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218.109,44</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sz w:val="18"/>
                <w:szCs w:val="18"/>
                <w:lang w:eastAsia="tr-TR"/>
              </w:rPr>
            </w:pPr>
            <w:r>
              <w:rPr>
                <w:rFonts w:ascii="Calibri" w:eastAsia="Times New Roman" w:hAnsi="Calibri"/>
                <w:sz w:val="18"/>
                <w:szCs w:val="18"/>
                <w:lang w:eastAsia="tr-TR"/>
              </w:rPr>
              <w:t>30.630.484,46</w:t>
            </w:r>
          </w:p>
        </w:tc>
      </w:tr>
      <w:tr w:rsidR="00FE7FEB" w:rsidTr="00D816E6">
        <w:trPr>
          <w:trHeight w:val="20"/>
        </w:trPr>
        <w:tc>
          <w:tcPr>
            <w:tcW w:w="1350" w:type="pct"/>
            <w:gridSpan w:val="2"/>
            <w:tcBorders>
              <w:top w:val="single" w:sz="8" w:space="0" w:color="D9D9D9"/>
              <w:left w:val="single" w:sz="8" w:space="0" w:color="D9D9D9"/>
              <w:bottom w:val="single" w:sz="8" w:space="0" w:color="D9D9D9"/>
              <w:right w:val="single" w:sz="8" w:space="0" w:color="D9D9D9"/>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Total</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b/>
                <w:bCs/>
                <w:sz w:val="18"/>
                <w:szCs w:val="18"/>
                <w:lang w:eastAsia="tr-TR"/>
              </w:rPr>
            </w:pPr>
            <w:r>
              <w:rPr>
                <w:rFonts w:ascii="Calibri" w:eastAsia="Times New Roman" w:hAnsi="Calibri"/>
                <w:b/>
                <w:bCs/>
                <w:sz w:val="18"/>
                <w:szCs w:val="18"/>
                <w:lang w:eastAsia="tr-TR"/>
              </w:rPr>
              <w:t>2.313.468,56</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b/>
                <w:bCs/>
                <w:sz w:val="18"/>
                <w:szCs w:val="18"/>
                <w:lang w:eastAsia="tr-TR"/>
              </w:rPr>
            </w:pPr>
            <w:r>
              <w:rPr>
                <w:rFonts w:ascii="Calibri" w:eastAsia="Times New Roman" w:hAnsi="Calibri"/>
                <w:b/>
                <w:bCs/>
                <w:sz w:val="18"/>
                <w:szCs w:val="18"/>
                <w:lang w:eastAsia="tr-TR"/>
              </w:rPr>
              <w:t>2.287.776,76</w:t>
            </w:r>
          </w:p>
        </w:tc>
        <w:tc>
          <w:tcPr>
            <w:tcW w:w="616"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b/>
                <w:bCs/>
                <w:sz w:val="18"/>
                <w:szCs w:val="18"/>
                <w:lang w:eastAsia="tr-TR"/>
              </w:rPr>
            </w:pPr>
            <w:r>
              <w:rPr>
                <w:rFonts w:ascii="Calibri" w:eastAsia="Times New Roman" w:hAnsi="Calibri"/>
                <w:b/>
                <w:bCs/>
                <w:sz w:val="18"/>
                <w:szCs w:val="18"/>
                <w:lang w:eastAsia="tr-TR"/>
              </w:rPr>
              <w:t>33.782.383,11</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b/>
                <w:bCs/>
                <w:sz w:val="18"/>
                <w:szCs w:val="18"/>
                <w:lang w:eastAsia="tr-TR"/>
              </w:rPr>
            </w:pPr>
            <w:r>
              <w:rPr>
                <w:rFonts w:ascii="Calibri" w:eastAsia="Times New Roman" w:hAnsi="Calibri"/>
                <w:b/>
                <w:bCs/>
                <w:sz w:val="18"/>
                <w:szCs w:val="18"/>
                <w:lang w:eastAsia="tr-TR"/>
              </w:rPr>
              <w:t>250.515.174,59</w:t>
            </w:r>
          </w:p>
        </w:tc>
        <w:tc>
          <w:tcPr>
            <w:tcW w:w="569"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b/>
                <w:bCs/>
                <w:sz w:val="18"/>
                <w:szCs w:val="18"/>
                <w:lang w:eastAsia="tr-TR"/>
              </w:rPr>
            </w:pPr>
            <w:r>
              <w:rPr>
                <w:rFonts w:ascii="Calibri" w:eastAsia="Times New Roman" w:hAnsi="Calibri"/>
                <w:b/>
                <w:bCs/>
                <w:sz w:val="18"/>
                <w:szCs w:val="18"/>
                <w:lang w:eastAsia="tr-TR"/>
              </w:rPr>
              <w:t>1.178.015,96</w:t>
            </w:r>
          </w:p>
        </w:tc>
        <w:tc>
          <w:tcPr>
            <w:tcW w:w="663" w:type="pct"/>
            <w:tcBorders>
              <w:top w:val="nil"/>
              <w:left w:val="nil"/>
              <w:bottom w:val="single" w:sz="8" w:space="0" w:color="D9D9D9"/>
              <w:right w:val="single" w:sz="8" w:space="0" w:color="D9D9D9"/>
            </w:tcBorders>
            <w:vAlign w:val="center"/>
            <w:hideMark/>
          </w:tcPr>
          <w:p w:rsidR="00FE7FEB" w:rsidRDefault="00FE7FEB" w:rsidP="00D816E6">
            <w:pPr>
              <w:spacing w:after="0" w:line="240" w:lineRule="auto"/>
              <w:jc w:val="right"/>
              <w:rPr>
                <w:rFonts w:ascii="Calibri" w:eastAsia="Times New Roman" w:hAnsi="Calibri"/>
                <w:b/>
                <w:bCs/>
                <w:sz w:val="18"/>
                <w:szCs w:val="18"/>
                <w:lang w:eastAsia="tr-TR"/>
              </w:rPr>
            </w:pPr>
            <w:r>
              <w:rPr>
                <w:rFonts w:ascii="Calibri" w:eastAsia="Times New Roman" w:hAnsi="Calibri"/>
                <w:b/>
                <w:bCs/>
                <w:sz w:val="18"/>
                <w:szCs w:val="18"/>
                <w:lang w:eastAsia="tr-TR"/>
              </w:rPr>
              <w:t>285.475.573,67</w:t>
            </w:r>
          </w:p>
        </w:tc>
      </w:tr>
    </w:tbl>
    <w:p w:rsidR="00FE7FEB" w:rsidRDefault="00FE7FEB" w:rsidP="00FE7FEB"/>
    <w:p w:rsidR="00FE7FEB" w:rsidRDefault="00FE7FEB" w:rsidP="00FE7FEB">
      <w:r w:rsidRPr="007F333A">
        <w:t xml:space="preserve">At the conditions and level determined by the Authority, the National Marker is added to the fuel by the relevant license holders and then controlled by a leştirilmiş simplified control device geliştiril developed by TÜBİTAK before being placed on the market. “National Marker Field Control Device ilen produced by TÜBİTAK is used in the audits of the fuel supplied to the market. The audits of the fuel in free circulation in the oil market are carried out within the framework of the cooperation protocols signed between </w:t>
      </w:r>
      <w:r>
        <w:t>EMRA</w:t>
      </w:r>
      <w:r w:rsidRPr="007F333A">
        <w:t xml:space="preserve"> and the Ministry of Interior, the Ministry of Industry and Technology and the Ministry of Commerce.</w:t>
      </w:r>
    </w:p>
    <w:p w:rsidR="00FE7FEB" w:rsidRDefault="00FE7FEB" w:rsidP="00FE7FEB">
      <w:pPr>
        <w:spacing w:after="120" w:line="240" w:lineRule="auto"/>
        <w:jc w:val="both"/>
        <w:rPr>
          <w:color w:val="000000" w:themeColor="text1"/>
        </w:rPr>
      </w:pPr>
      <w:r w:rsidRPr="00171959">
        <w:rPr>
          <w:color w:val="000000" w:themeColor="text1"/>
        </w:rPr>
        <w:t>As a result of the National Marker application, product quality control can be carried out at every stage of the product supply chain by separating the illegal fuel with the fuel that is legally in free circulation in the country and the supply of the illegal fuel to the domestic market and the mixing of the non-standard fuel with other fuel are prevented from being presented to the market. Thus, the fuel supplied to the market can be indirectly ensured to conform to the standards.</w:t>
      </w:r>
    </w:p>
    <w:p w:rsidR="00FE7FEB" w:rsidRPr="00026B4E" w:rsidRDefault="00FE7FEB" w:rsidP="00FE7FEB">
      <w:pPr>
        <w:spacing w:after="120" w:line="240" w:lineRule="auto"/>
        <w:jc w:val="both"/>
        <w:rPr>
          <w:color w:val="000000" w:themeColor="text1"/>
        </w:rPr>
      </w:pPr>
    </w:p>
    <w:p w:rsidR="00FE7FEB" w:rsidRPr="00902C53" w:rsidRDefault="00FE7FEB" w:rsidP="004530BB">
      <w:pPr>
        <w:pStyle w:val="Balk4"/>
      </w:pPr>
      <w:r w:rsidRPr="00902C53">
        <w:t xml:space="preserve">3.3.2.2.Liquid Fuel Vendors Automation System </w:t>
      </w:r>
    </w:p>
    <w:p w:rsidR="00FE7FEB" w:rsidRDefault="00FE7FEB" w:rsidP="00FE7FEB">
      <w:r>
        <w:t>In line with the provision of the seventh paragraph of Article 7 of the Petroleum Market Law,” The licensee establishes and implements an inspection system that includes technological methods to prevent the sale of fugitive oil in accordance with the principles determined by the Authority “ the necessary work have been</w:t>
      </w:r>
      <w:r w:rsidRPr="00902C53">
        <w:t xml:space="preserve"> </w:t>
      </w:r>
      <w:r>
        <w:t xml:space="preserve">carried out by the Authority and the Board Decision dated 27/06/2007 and numbered 1240, which was published in Official Gazette dated 2007 and numbered 26574, was taken. </w:t>
      </w:r>
    </w:p>
    <w:p w:rsidR="00FE7FEB" w:rsidRDefault="00FE7FEB" w:rsidP="00FE7FEB">
      <w:r>
        <w:t xml:space="preserve">In this respect, paragraph (b) of the aforementione Board Decision states that “a station automation system is established for daily monitoring of stock movements and fuel purchase and sale transactions in electronic environment at the fuel stations. It monitors and reports the fuel purchase and sale movements of its dealers with its centralized station automation system. The licensee is obliged to install and implement automation systems in accordance with the provision of “Shall promptly inform the Authority in case of unregistered supply and sales.” Such obligation for fuel stations started on 30/06/2011; for fixed village pumps and sale tanks for agricultural purposes on 30/09/2011. </w:t>
      </w:r>
    </w:p>
    <w:p w:rsidR="00FE7FEB" w:rsidRDefault="00FE7FEB" w:rsidP="00FE7FEB">
      <w:r>
        <w:t>Within the scope of the Board Decision Regarding the Vendor Audit System no. 1240, distributor license holders have obligations to report to our Authority on a daily and monthly basis the data they collect through the audit system they have established. Some of these data are received as electronic signed notification within the scope of EBIS and some of them are delivered to our web services. The station automation system data that reaches to our institution is shared with the institutions and organizations in charge of fighting with illegal fuels within the scope of Petroleum Market Law to the extent required by their duties. In addition, statistical information generated in the direction of the data is shared with the Ministry of Energy and Natural Resources on a weekly basis.</w:t>
      </w:r>
    </w:p>
    <w:p w:rsidR="00FE7FEB" w:rsidRPr="00902C53" w:rsidRDefault="00FE7FEB" w:rsidP="004530BB">
      <w:pPr>
        <w:pStyle w:val="Balk3"/>
      </w:pPr>
      <w:bookmarkStart w:id="110" w:name="_Toc12956327"/>
      <w:r w:rsidRPr="00902C53">
        <w:t>3.3.2.3.Petroleum Depot Stock Monitoring System</w:t>
      </w:r>
      <w:bookmarkEnd w:id="110"/>
      <w:r w:rsidRPr="00902C53">
        <w:t xml:space="preserve"> </w:t>
      </w:r>
    </w:p>
    <w:p w:rsidR="00FE7FEB" w:rsidRDefault="00FE7FEB" w:rsidP="00FE7FEB">
      <w:r>
        <w:t>Establishment of tank tracking system has been completed so that the amount of petroleum in the tanks in Petroleum Market storage facilities that are included in national stock and monitoring of the levels in electronic environment hourly and the data generated in these systems can be followed directly by our Institution. Coupon system was added to Petroleum Stock Inventory Tracking System as of 01.01.2018.</w:t>
      </w:r>
    </w:p>
    <w:p w:rsidR="00FE7FEB" w:rsidRPr="004530BB" w:rsidRDefault="00FE7FEB" w:rsidP="004530BB">
      <w:pPr>
        <w:pStyle w:val="Balk2"/>
      </w:pPr>
      <w:bookmarkStart w:id="111" w:name="_Toc442431263"/>
      <w:bookmarkStart w:id="112" w:name="_Toc514251641"/>
      <w:bookmarkStart w:id="113" w:name="_Toc12956328"/>
      <w:r w:rsidRPr="004530BB">
        <w:t>3.4.Liquefied Petroleum Gases (LPG) Market Licensing Activities</w:t>
      </w:r>
      <w:bookmarkEnd w:id="111"/>
      <w:bookmarkEnd w:id="112"/>
      <w:bookmarkEnd w:id="113"/>
    </w:p>
    <w:p w:rsidR="00FE7FEB" w:rsidRDefault="00FE7FEB" w:rsidP="00FE7FEB">
      <w:r w:rsidRPr="001E2D99">
        <w:t xml:space="preserve">LPG related; It is compulsory to obtain a license to perform LPG Distributor, LPG Transportation, LPG Storage, LPG Autogas Dealership, LPG Cylinder Manufacturing, LPG Cylinder Inspection, Repair and Maintenance activities. </w:t>
      </w:r>
      <w:r>
        <w:t>The activities to be performed within the scope of LPG licenses and the obligations of the licensees are specified in the Liquefied Petroleum Gas (LPG) Market License Regulation.</w:t>
      </w:r>
    </w:p>
    <w:p w:rsidR="00FE7FEB" w:rsidRDefault="00FE7FEB" w:rsidP="00FE7FEB">
      <w:r>
        <w:t>The license transactions performed in the LPG market in 2018 are given in Table 3.10.</w:t>
      </w:r>
    </w:p>
    <w:p w:rsidR="00FE7FEB" w:rsidRDefault="00FE7FEB" w:rsidP="00FE7FEB"/>
    <w:p w:rsidR="00FE7FEB" w:rsidRPr="00542DD6" w:rsidRDefault="00FE7FEB" w:rsidP="00542DD6">
      <w:pPr>
        <w:pStyle w:val="Balk5"/>
      </w:pPr>
      <w:bookmarkStart w:id="114" w:name="_Toc416447590"/>
      <w:bookmarkStart w:id="115" w:name="_Toc442441740"/>
      <w:bookmarkStart w:id="116" w:name="_Toc512874136"/>
      <w:bookmarkStart w:id="117" w:name="_Toc12958480"/>
      <w:r w:rsidRPr="00542DD6">
        <w:rPr>
          <w:rStyle w:val="Gl"/>
          <w:b/>
          <w:bCs w:val="0"/>
        </w:rPr>
        <w:t>Table 3.10: License Procedures in LPG Market in 201</w:t>
      </w:r>
      <w:bookmarkEnd w:id="114"/>
      <w:bookmarkEnd w:id="115"/>
      <w:bookmarkEnd w:id="116"/>
      <w:r w:rsidRPr="00542DD6">
        <w:rPr>
          <w:rStyle w:val="Gl"/>
          <w:b/>
          <w:bCs w:val="0"/>
        </w:rPr>
        <w:t>8</w:t>
      </w:r>
      <w:bookmarkEnd w:id="117"/>
    </w:p>
    <w:tbl>
      <w:tblPr>
        <w:tblW w:w="4474" w:type="pct"/>
        <w:tblInd w:w="-49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013"/>
        <w:gridCol w:w="824"/>
        <w:gridCol w:w="633"/>
        <w:gridCol w:w="835"/>
        <w:gridCol w:w="717"/>
        <w:gridCol w:w="929"/>
        <w:gridCol w:w="810"/>
        <w:gridCol w:w="875"/>
        <w:gridCol w:w="796"/>
        <w:gridCol w:w="810"/>
        <w:gridCol w:w="723"/>
        <w:gridCol w:w="470"/>
        <w:gridCol w:w="608"/>
      </w:tblGrid>
      <w:tr w:rsidR="00FE7FEB" w:rsidRPr="00902C53" w:rsidTr="00D816E6">
        <w:trPr>
          <w:trHeight w:val="18"/>
        </w:trPr>
        <w:tc>
          <w:tcPr>
            <w:tcW w:w="4485" w:type="pct"/>
            <w:gridSpan w:val="11"/>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val="tr-TR" w:eastAsia="tr-TR"/>
              </w:rPr>
            </w:pPr>
            <w:r w:rsidRPr="00902C53">
              <w:rPr>
                <w:rFonts w:eastAsia="Times New Roman" w:cstheme="minorHAnsi"/>
                <w:b/>
                <w:bCs/>
                <w:color w:val="FFFFFF"/>
                <w:sz w:val="20"/>
                <w:szCs w:val="20"/>
                <w:lang w:eastAsia="tr-TR"/>
              </w:rPr>
              <w:t>License Procedure type</w:t>
            </w:r>
          </w:p>
        </w:tc>
        <w:tc>
          <w:tcPr>
            <w:tcW w:w="222"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Total</w:t>
            </w:r>
          </w:p>
        </w:tc>
        <w:tc>
          <w:tcPr>
            <w:tcW w:w="294"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No of licenses in effect</w:t>
            </w:r>
          </w:p>
        </w:tc>
      </w:tr>
      <w:tr w:rsidR="00FE7FEB" w:rsidRPr="00902C53" w:rsidTr="00D816E6">
        <w:trPr>
          <w:trHeight w:val="18"/>
        </w:trPr>
        <w:tc>
          <w:tcPr>
            <w:tcW w:w="5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License Type</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License Application</w:t>
            </w:r>
          </w:p>
        </w:tc>
        <w:tc>
          <w:tcPr>
            <w:tcW w:w="3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Granted Licenses</w:t>
            </w:r>
          </w:p>
        </w:tc>
        <w:tc>
          <w:tcPr>
            <w:tcW w:w="4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Terminated Licenses</w:t>
            </w:r>
          </w:p>
        </w:tc>
        <w:tc>
          <w:tcPr>
            <w:tcW w:w="3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Cancelled Licenses</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No of amendments</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Revocation of Cancelled Licenses</w:t>
            </w:r>
          </w:p>
        </w:tc>
        <w:tc>
          <w:tcPr>
            <w:tcW w:w="4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val="it-IT" w:eastAsia="tr-TR"/>
              </w:rPr>
            </w:pPr>
            <w:r w:rsidRPr="00902C53">
              <w:rPr>
                <w:rFonts w:eastAsia="Times New Roman" w:cstheme="minorHAnsi"/>
                <w:b/>
                <w:bCs/>
                <w:color w:val="FFFFFF"/>
                <w:sz w:val="20"/>
                <w:szCs w:val="20"/>
                <w:lang w:val="it-IT" w:eastAsia="tr-TR"/>
              </w:rPr>
              <w:t>Revocation of License Termination</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Temporary Activity Stopping</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Revocation of Temporary Activity Stopping</w:t>
            </w:r>
          </w:p>
        </w:tc>
        <w:tc>
          <w:tcPr>
            <w:tcW w:w="3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02C53" w:rsidRDefault="00FE7FEB" w:rsidP="00D816E6">
            <w:pPr>
              <w:spacing w:after="0" w:line="240" w:lineRule="auto"/>
              <w:jc w:val="center"/>
              <w:rPr>
                <w:rFonts w:eastAsia="Times New Roman" w:cstheme="minorHAnsi"/>
                <w:b/>
                <w:bCs/>
                <w:color w:val="FFFFFF"/>
                <w:sz w:val="20"/>
                <w:szCs w:val="20"/>
                <w:lang w:eastAsia="tr-TR"/>
              </w:rPr>
            </w:pPr>
            <w:r w:rsidRPr="00902C53">
              <w:rPr>
                <w:rFonts w:eastAsia="Times New Roman" w:cstheme="minorHAnsi"/>
                <w:b/>
                <w:bCs/>
                <w:color w:val="FFFFFF"/>
                <w:sz w:val="20"/>
                <w:szCs w:val="20"/>
                <w:lang w:eastAsia="tr-TR"/>
              </w:rPr>
              <w:t>License Term Extension</w:t>
            </w: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rPr>
                <w:rFonts w:eastAsia="Times New Roman" w:cstheme="minorHAnsi"/>
                <w:b/>
                <w:bCs/>
                <w:color w:val="FFFFFF"/>
                <w:sz w:val="20"/>
                <w:szCs w:val="20"/>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rPr>
                <w:rFonts w:eastAsia="Times New Roman" w:cstheme="minorHAnsi"/>
                <w:b/>
                <w:bCs/>
                <w:color w:val="FFFFFF"/>
                <w:sz w:val="20"/>
                <w:szCs w:val="20"/>
                <w:lang w:eastAsia="tr-TR"/>
              </w:rPr>
            </w:pPr>
          </w:p>
        </w:tc>
      </w:tr>
      <w:tr w:rsidR="00FE7FEB" w:rsidRPr="00902C53" w:rsidTr="00D816E6">
        <w:trPr>
          <w:trHeight w:val="18"/>
        </w:trPr>
        <w:tc>
          <w:tcPr>
            <w:tcW w:w="5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rPr>
                <w:rFonts w:eastAsia="Times New Roman" w:cstheme="minorHAnsi"/>
                <w:sz w:val="20"/>
                <w:szCs w:val="20"/>
                <w:lang w:eastAsia="tr-TR"/>
              </w:rPr>
            </w:pPr>
            <w:r w:rsidRPr="00902C53">
              <w:rPr>
                <w:rFonts w:eastAsia="Times New Roman" w:cstheme="minorHAnsi"/>
                <w:color w:val="000000"/>
                <w:sz w:val="20"/>
                <w:szCs w:val="20"/>
                <w:lang w:eastAsia="tr-TR"/>
              </w:rPr>
              <w:t>LPG Distribution License</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5</w:t>
            </w:r>
          </w:p>
        </w:tc>
        <w:tc>
          <w:tcPr>
            <w:tcW w:w="3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4</w:t>
            </w:r>
          </w:p>
        </w:tc>
        <w:tc>
          <w:tcPr>
            <w:tcW w:w="4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6</w:t>
            </w:r>
          </w:p>
        </w:tc>
        <w:tc>
          <w:tcPr>
            <w:tcW w:w="3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3</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40</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3</w:t>
            </w:r>
          </w:p>
        </w:tc>
        <w:tc>
          <w:tcPr>
            <w:tcW w:w="4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3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61</w:t>
            </w:r>
          </w:p>
        </w:tc>
        <w:tc>
          <w:tcPr>
            <w:tcW w:w="2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93</w:t>
            </w:r>
          </w:p>
        </w:tc>
      </w:tr>
      <w:tr w:rsidR="00FE7FEB" w:rsidRPr="00902C53" w:rsidTr="00D816E6">
        <w:trPr>
          <w:trHeight w:val="18"/>
        </w:trPr>
        <w:tc>
          <w:tcPr>
            <w:tcW w:w="5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rPr>
                <w:rFonts w:eastAsia="Times New Roman" w:cstheme="minorHAnsi"/>
                <w:sz w:val="20"/>
                <w:szCs w:val="20"/>
                <w:lang w:eastAsia="tr-TR"/>
              </w:rPr>
            </w:pPr>
            <w:r w:rsidRPr="00902C53">
              <w:rPr>
                <w:rFonts w:eastAsia="Times New Roman" w:cstheme="minorHAnsi"/>
                <w:color w:val="000000"/>
                <w:sz w:val="20"/>
                <w:szCs w:val="20"/>
                <w:lang w:eastAsia="tr-TR"/>
              </w:rPr>
              <w:t>LPG Storage License</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3</w:t>
            </w:r>
          </w:p>
        </w:tc>
        <w:tc>
          <w:tcPr>
            <w:tcW w:w="3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3</w:t>
            </w:r>
          </w:p>
        </w:tc>
        <w:tc>
          <w:tcPr>
            <w:tcW w:w="4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2</w:t>
            </w:r>
          </w:p>
        </w:tc>
        <w:tc>
          <w:tcPr>
            <w:tcW w:w="3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0</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7</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4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3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15</w:t>
            </w:r>
          </w:p>
        </w:tc>
        <w:tc>
          <w:tcPr>
            <w:tcW w:w="2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108</w:t>
            </w:r>
          </w:p>
        </w:tc>
      </w:tr>
      <w:tr w:rsidR="00FE7FEB" w:rsidRPr="00902C53" w:rsidTr="00D816E6">
        <w:trPr>
          <w:trHeight w:val="18"/>
        </w:trPr>
        <w:tc>
          <w:tcPr>
            <w:tcW w:w="5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rPr>
                <w:rFonts w:eastAsia="Times New Roman" w:cstheme="minorHAnsi"/>
                <w:sz w:val="20"/>
                <w:szCs w:val="20"/>
                <w:lang w:eastAsia="tr-TR"/>
              </w:rPr>
            </w:pPr>
            <w:r w:rsidRPr="00902C53">
              <w:rPr>
                <w:rFonts w:eastAsia="Times New Roman" w:cstheme="minorHAnsi"/>
                <w:sz w:val="20"/>
                <w:szCs w:val="20"/>
                <w:lang w:eastAsia="tr-TR"/>
              </w:rPr>
              <w:t>LPG Autogas Vendorship License</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1.122</w:t>
            </w:r>
          </w:p>
        </w:tc>
        <w:tc>
          <w:tcPr>
            <w:tcW w:w="3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1.094</w:t>
            </w:r>
          </w:p>
        </w:tc>
        <w:tc>
          <w:tcPr>
            <w:tcW w:w="4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303</w:t>
            </w:r>
          </w:p>
        </w:tc>
        <w:tc>
          <w:tcPr>
            <w:tcW w:w="3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12</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1.103</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4</w:t>
            </w:r>
          </w:p>
        </w:tc>
        <w:tc>
          <w:tcPr>
            <w:tcW w:w="4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8</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40</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27</w:t>
            </w:r>
          </w:p>
        </w:tc>
        <w:tc>
          <w:tcPr>
            <w:tcW w:w="3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1.701</w:t>
            </w:r>
          </w:p>
        </w:tc>
        <w:tc>
          <w:tcPr>
            <w:tcW w:w="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5.414</w:t>
            </w:r>
          </w:p>
        </w:tc>
        <w:tc>
          <w:tcPr>
            <w:tcW w:w="2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10.632</w:t>
            </w:r>
          </w:p>
        </w:tc>
      </w:tr>
      <w:tr w:rsidR="00FE7FEB" w:rsidRPr="00902C53" w:rsidTr="00D816E6">
        <w:trPr>
          <w:trHeight w:val="18"/>
        </w:trPr>
        <w:tc>
          <w:tcPr>
            <w:tcW w:w="5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rPr>
                <w:rFonts w:eastAsia="Times New Roman" w:cstheme="minorHAnsi"/>
                <w:sz w:val="20"/>
                <w:szCs w:val="20"/>
                <w:lang w:eastAsia="tr-TR"/>
              </w:rPr>
            </w:pPr>
            <w:r w:rsidRPr="00902C53">
              <w:rPr>
                <w:rFonts w:eastAsia="Times New Roman" w:cstheme="minorHAnsi"/>
                <w:color w:val="000000"/>
                <w:sz w:val="20"/>
                <w:szCs w:val="20"/>
                <w:lang w:eastAsia="tr-TR"/>
              </w:rPr>
              <w:t>LPG Transportation  License</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2</w:t>
            </w:r>
          </w:p>
        </w:tc>
        <w:tc>
          <w:tcPr>
            <w:tcW w:w="3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2</w:t>
            </w:r>
          </w:p>
        </w:tc>
        <w:tc>
          <w:tcPr>
            <w:tcW w:w="4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3</w:t>
            </w:r>
          </w:p>
        </w:tc>
        <w:tc>
          <w:tcPr>
            <w:tcW w:w="3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0</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5</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4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3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w:t>
            </w:r>
          </w:p>
        </w:tc>
        <w:tc>
          <w:tcPr>
            <w:tcW w:w="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13</w:t>
            </w:r>
          </w:p>
        </w:tc>
        <w:tc>
          <w:tcPr>
            <w:tcW w:w="2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59</w:t>
            </w:r>
          </w:p>
        </w:tc>
      </w:tr>
      <w:tr w:rsidR="00FE7FEB" w:rsidRPr="00902C53" w:rsidTr="00D816E6">
        <w:trPr>
          <w:trHeight w:val="18"/>
        </w:trPr>
        <w:tc>
          <w:tcPr>
            <w:tcW w:w="5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rPr>
                <w:rFonts w:eastAsia="Times New Roman" w:cstheme="minorHAnsi"/>
                <w:sz w:val="20"/>
                <w:szCs w:val="20"/>
                <w:lang w:eastAsia="tr-TR"/>
              </w:rPr>
            </w:pPr>
            <w:r w:rsidRPr="00902C53">
              <w:rPr>
                <w:rFonts w:eastAsia="Times New Roman" w:cstheme="minorHAnsi"/>
                <w:color w:val="000000"/>
                <w:sz w:val="20"/>
                <w:szCs w:val="20"/>
                <w:lang w:eastAsia="tr-TR"/>
              </w:rPr>
              <w:t>LPG Cylinder Production License</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w:t>
            </w:r>
          </w:p>
        </w:tc>
        <w:tc>
          <w:tcPr>
            <w:tcW w:w="3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1</w:t>
            </w:r>
          </w:p>
        </w:tc>
        <w:tc>
          <w:tcPr>
            <w:tcW w:w="4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0</w:t>
            </w:r>
          </w:p>
        </w:tc>
        <w:tc>
          <w:tcPr>
            <w:tcW w:w="3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0</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7</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4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3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9</w:t>
            </w:r>
          </w:p>
        </w:tc>
        <w:tc>
          <w:tcPr>
            <w:tcW w:w="2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11</w:t>
            </w:r>
          </w:p>
        </w:tc>
      </w:tr>
      <w:tr w:rsidR="00FE7FEB" w:rsidRPr="00902C53" w:rsidTr="00D816E6">
        <w:trPr>
          <w:trHeight w:val="18"/>
        </w:trPr>
        <w:tc>
          <w:tcPr>
            <w:tcW w:w="5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rPr>
                <w:rFonts w:eastAsia="Times New Roman" w:cstheme="minorHAnsi"/>
                <w:sz w:val="20"/>
                <w:szCs w:val="20"/>
                <w:lang w:eastAsia="tr-TR"/>
              </w:rPr>
            </w:pPr>
            <w:r w:rsidRPr="00902C53">
              <w:rPr>
                <w:rFonts w:eastAsia="Times New Roman" w:cstheme="minorHAnsi"/>
                <w:color w:val="000000"/>
                <w:sz w:val="20"/>
                <w:szCs w:val="20"/>
                <w:lang w:eastAsia="tr-TR"/>
              </w:rPr>
              <w:t>LPG Cylinder Contro, Repair and Maintenance License</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0</w:t>
            </w:r>
          </w:p>
        </w:tc>
        <w:tc>
          <w:tcPr>
            <w:tcW w:w="3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0</w:t>
            </w:r>
          </w:p>
        </w:tc>
        <w:tc>
          <w:tcPr>
            <w:tcW w:w="4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3</w:t>
            </w:r>
          </w:p>
        </w:tc>
        <w:tc>
          <w:tcPr>
            <w:tcW w:w="3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0</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5</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4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3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 </w:t>
            </w:r>
          </w:p>
        </w:tc>
        <w:tc>
          <w:tcPr>
            <w:tcW w:w="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sz w:val="20"/>
                <w:szCs w:val="20"/>
                <w:lang w:eastAsia="tr-TR"/>
              </w:rPr>
            </w:pPr>
            <w:r w:rsidRPr="00902C53">
              <w:rPr>
                <w:rFonts w:eastAsia="Times New Roman" w:cstheme="minorHAnsi"/>
                <w:sz w:val="20"/>
                <w:szCs w:val="20"/>
                <w:lang w:eastAsia="tr-TR"/>
              </w:rPr>
              <w:t>8</w:t>
            </w:r>
          </w:p>
        </w:tc>
        <w:tc>
          <w:tcPr>
            <w:tcW w:w="2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90</w:t>
            </w:r>
          </w:p>
        </w:tc>
      </w:tr>
      <w:tr w:rsidR="00FE7FEB" w:rsidRPr="00902C53" w:rsidTr="00D816E6">
        <w:trPr>
          <w:trHeight w:val="18"/>
        </w:trPr>
        <w:tc>
          <w:tcPr>
            <w:tcW w:w="5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both"/>
              <w:rPr>
                <w:rFonts w:eastAsia="Times New Roman" w:cstheme="minorHAnsi"/>
                <w:b/>
                <w:bCs/>
                <w:sz w:val="20"/>
                <w:szCs w:val="20"/>
                <w:lang w:eastAsia="tr-TR"/>
              </w:rPr>
            </w:pPr>
            <w:r w:rsidRPr="00902C53">
              <w:rPr>
                <w:rFonts w:eastAsia="Times New Roman" w:cstheme="minorHAnsi"/>
                <w:b/>
                <w:bCs/>
                <w:sz w:val="20"/>
                <w:szCs w:val="20"/>
                <w:lang w:eastAsia="tr-TR"/>
              </w:rPr>
              <w:t>Total</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1.133</w:t>
            </w:r>
          </w:p>
        </w:tc>
        <w:tc>
          <w:tcPr>
            <w:tcW w:w="3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1.104</w:t>
            </w:r>
          </w:p>
        </w:tc>
        <w:tc>
          <w:tcPr>
            <w:tcW w:w="4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317</w:t>
            </w:r>
          </w:p>
        </w:tc>
        <w:tc>
          <w:tcPr>
            <w:tcW w:w="3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15</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1.167</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7</w:t>
            </w:r>
          </w:p>
        </w:tc>
        <w:tc>
          <w:tcPr>
            <w:tcW w:w="4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8</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40</w:t>
            </w:r>
          </w:p>
        </w:tc>
        <w:tc>
          <w:tcPr>
            <w:tcW w:w="4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27</w:t>
            </w:r>
          </w:p>
        </w:tc>
        <w:tc>
          <w:tcPr>
            <w:tcW w:w="3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1.702</w:t>
            </w:r>
          </w:p>
        </w:tc>
        <w:tc>
          <w:tcPr>
            <w:tcW w:w="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5.520</w:t>
            </w:r>
          </w:p>
        </w:tc>
        <w:tc>
          <w:tcPr>
            <w:tcW w:w="2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02C53" w:rsidRDefault="00FE7FEB" w:rsidP="00D816E6">
            <w:pPr>
              <w:spacing w:after="0" w:line="240" w:lineRule="auto"/>
              <w:jc w:val="right"/>
              <w:rPr>
                <w:rFonts w:eastAsia="Times New Roman" w:cstheme="minorHAnsi"/>
                <w:b/>
                <w:bCs/>
                <w:sz w:val="20"/>
                <w:szCs w:val="20"/>
                <w:lang w:eastAsia="tr-TR"/>
              </w:rPr>
            </w:pPr>
            <w:r w:rsidRPr="00902C53">
              <w:rPr>
                <w:rFonts w:eastAsia="Times New Roman" w:cstheme="minorHAnsi"/>
                <w:b/>
                <w:bCs/>
                <w:sz w:val="20"/>
                <w:szCs w:val="20"/>
                <w:lang w:eastAsia="tr-TR"/>
              </w:rPr>
              <w:t>11.009</w:t>
            </w:r>
          </w:p>
        </w:tc>
      </w:tr>
    </w:tbl>
    <w:p w:rsidR="00FE7FEB" w:rsidRPr="00902C53" w:rsidRDefault="00FE7FEB" w:rsidP="00FE7FEB">
      <w:pPr>
        <w:rPr>
          <w:sz w:val="20"/>
          <w:szCs w:val="20"/>
        </w:rPr>
      </w:pPr>
    </w:p>
    <w:p w:rsidR="00FE7FEB" w:rsidRPr="004530BB" w:rsidRDefault="00FE7FEB" w:rsidP="004530BB">
      <w:pPr>
        <w:pStyle w:val="Balk3"/>
        <w:rPr>
          <w:rStyle w:val="Gl"/>
          <w:b/>
          <w:bCs w:val="0"/>
          <w:sz w:val="24"/>
        </w:rPr>
      </w:pPr>
      <w:bookmarkStart w:id="118" w:name="_Toc12956329"/>
      <w:r w:rsidRPr="004530BB">
        <w:rPr>
          <w:rStyle w:val="Gl"/>
          <w:b/>
          <w:bCs w:val="0"/>
          <w:sz w:val="24"/>
        </w:rPr>
        <w:t>3.4.1.Liquefied Petroleum Gases (LPG) Market granting permits for coupons</w:t>
      </w:r>
      <w:r w:rsidRPr="004530BB">
        <w:rPr>
          <w:rStyle w:val="Gl"/>
          <w:b/>
          <w:bCs w:val="0"/>
          <w:sz w:val="24"/>
        </w:rPr>
        <w:t> </w:t>
      </w:r>
      <w:bookmarkEnd w:id="118"/>
    </w:p>
    <w:p w:rsidR="00FE7FEB" w:rsidRDefault="00FE7FEB" w:rsidP="00FE7FEB">
      <w:r w:rsidRPr="00822B0A">
        <w:rPr>
          <w:bCs/>
        </w:rPr>
        <w:t>In accordance with Decision No. 2017/1 of the National Petroleum Stock Commission and Decree on the Possibility of Keeping Compulsory Petroleum Stoku and Compulsory Petroleum Stock in the LPG Market as LPG under the Coupon System,</w:t>
      </w:r>
      <w:r w:rsidRPr="00E66D3A">
        <w:rPr>
          <w:bCs/>
        </w:rPr>
        <w:t xml:space="preserve"> one distributor license holder was granted coupon authorization</w:t>
      </w:r>
      <w:r>
        <w:rPr>
          <w:bCs/>
        </w:rPr>
        <w:t xml:space="preserve"> for 2018</w:t>
      </w:r>
      <w:r w:rsidRPr="00E66D3A">
        <w:rPr>
          <w:bCs/>
        </w:rPr>
        <w:t>.</w:t>
      </w:r>
    </w:p>
    <w:p w:rsidR="00FE7FEB" w:rsidRPr="00542DD6" w:rsidRDefault="00FE7FEB" w:rsidP="00542DD6">
      <w:pPr>
        <w:pStyle w:val="Balk5"/>
      </w:pPr>
      <w:bookmarkStart w:id="119" w:name="_Toc12958481"/>
      <w:bookmarkStart w:id="120" w:name="_Toc416447593"/>
      <w:bookmarkStart w:id="121" w:name="_Toc442441742"/>
      <w:bookmarkStart w:id="122" w:name="_Toc512874137"/>
      <w:r w:rsidRPr="00542DD6">
        <w:rPr>
          <w:rStyle w:val="Gl"/>
          <w:b/>
          <w:bCs w:val="0"/>
        </w:rPr>
        <w:t>Table 3.11: Information on LPG Market Storage Licenses as of the end of 2018</w:t>
      </w:r>
      <w:bookmarkEnd w:id="119"/>
      <w:r w:rsidRPr="00542DD6">
        <w:rPr>
          <w:rStyle w:val="Gl"/>
          <w:b/>
          <w:bCs w:val="0"/>
        </w:rPr>
        <w:t xml:space="preserve"> </w:t>
      </w:r>
      <w:bookmarkEnd w:id="120"/>
      <w:bookmarkEnd w:id="121"/>
      <w:bookmarkEnd w:id="12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88"/>
        <w:gridCol w:w="2398"/>
        <w:gridCol w:w="2005"/>
        <w:gridCol w:w="1254"/>
        <w:gridCol w:w="1555"/>
        <w:gridCol w:w="146"/>
      </w:tblGrid>
      <w:tr w:rsidR="00FE7FEB" w:rsidTr="00D816E6">
        <w:trPr>
          <w:trHeight w:val="509"/>
          <w:tblHeader/>
        </w:trPr>
        <w:tc>
          <w:tcPr>
            <w:tcW w:w="992"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noWrap/>
            <w:vAlign w:val="center"/>
            <w:hideMark/>
          </w:tcPr>
          <w:p w:rsidR="00FE7FEB" w:rsidRDefault="00FE7FEB" w:rsidP="00D816E6">
            <w:pPr>
              <w:spacing w:after="0" w:line="240" w:lineRule="auto"/>
              <w:jc w:val="center"/>
              <w:rPr>
                <w:rFonts w:ascii="Calibri" w:eastAsia="Times New Roman" w:hAnsi="Calibri"/>
                <w:b/>
                <w:bCs/>
                <w:color w:val="FFFFFF"/>
                <w:lang w:val="tr-TR" w:eastAsia="tr-TR"/>
              </w:rPr>
            </w:pPr>
            <w:r w:rsidRPr="00822B0A">
              <w:rPr>
                <w:rFonts w:eastAsia="Times New Roman" w:cs="Arial"/>
                <w:b/>
                <w:bCs/>
                <w:color w:val="FFFFFF"/>
                <w:lang w:eastAsia="tr-TR"/>
              </w:rPr>
              <w:t>Province of the facility</w:t>
            </w:r>
          </w:p>
        </w:tc>
        <w:tc>
          <w:tcPr>
            <w:tcW w:w="2320" w:type="pct"/>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noWrap/>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 xml:space="preserve"> </w:t>
            </w:r>
            <w:r w:rsidRPr="00822B0A">
              <w:rPr>
                <w:rFonts w:eastAsia="Times New Roman" w:cs="Arial"/>
                <w:b/>
                <w:bCs/>
                <w:color w:val="FFFFFF"/>
                <w:lang w:eastAsia="tr-TR"/>
              </w:rPr>
              <w:t>Total Capacity  (m3)</w:t>
            </w:r>
          </w:p>
        </w:tc>
        <w:tc>
          <w:tcPr>
            <w:tcW w:w="680"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 xml:space="preserve"> </w:t>
            </w:r>
            <w:r w:rsidRPr="00822B0A">
              <w:rPr>
                <w:rFonts w:eastAsia="Times New Roman" w:cs="Arial"/>
                <w:b/>
                <w:bCs/>
                <w:color w:val="FFFFFF"/>
                <w:lang w:eastAsia="tr-TR"/>
              </w:rPr>
              <w:t>Total Capacity  (m3)</w:t>
            </w:r>
          </w:p>
        </w:tc>
        <w:tc>
          <w:tcPr>
            <w:tcW w:w="1008"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sidRPr="00822B0A">
              <w:rPr>
                <w:rFonts w:eastAsia="Times New Roman" w:cs="Arial"/>
                <w:b/>
                <w:bCs/>
                <w:color w:val="FFFFFF"/>
                <w:lang w:eastAsia="tr-TR"/>
              </w:rPr>
              <w:t>Share in Total Storage Capacity (%)</w:t>
            </w:r>
          </w:p>
        </w:tc>
        <w:tc>
          <w:tcPr>
            <w:tcW w:w="6" w:type="dxa"/>
            <w:tcBorders>
              <w:top w:val="nil"/>
              <w:left w:val="nil"/>
              <w:bottom w:val="nil"/>
              <w:right w:val="nil"/>
            </w:tcBorders>
            <w:vAlign w:val="center"/>
            <w:hideMark/>
          </w:tcPr>
          <w:p w:rsidR="00FE7FEB" w:rsidRDefault="00FE7FEB" w:rsidP="00D816E6">
            <w:pPr>
              <w:rPr>
                <w:rFonts w:ascii="Arial" w:eastAsia="Times New Roman" w:hAnsi="Arial" w:cs="Arial"/>
                <w:b/>
                <w:bCs/>
                <w:color w:val="FFFFFF"/>
                <w:sz w:val="20"/>
                <w:szCs w:val="20"/>
                <w:lang w:eastAsia="tr-TR"/>
              </w:rPr>
            </w:pPr>
          </w:p>
        </w:tc>
      </w:tr>
      <w:tr w:rsidR="00FE7FEB" w:rsidTr="00D816E6">
        <w:trPr>
          <w:trHeight w:val="509"/>
          <w:tblHead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lang w:eastAsia="tr-TR"/>
              </w:rPr>
            </w:pPr>
          </w:p>
        </w:tc>
        <w:tc>
          <w:tcPr>
            <w:tcW w:w="0" w:type="auto"/>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Arial" w:eastAsia="Times New Roman" w:hAnsi="Arial" w:cs="Arial"/>
                <w:b/>
                <w:bCs/>
                <w:color w:val="FFFFFF"/>
                <w:sz w:val="20"/>
                <w:szCs w:val="20"/>
                <w:lang w:eastAsia="tr-TR"/>
              </w:rPr>
            </w:pPr>
          </w:p>
        </w:tc>
        <w:tc>
          <w:tcPr>
            <w:tcW w:w="6" w:type="dxa"/>
            <w:tcBorders>
              <w:top w:val="nil"/>
              <w:left w:val="nil"/>
              <w:bottom w:val="nil"/>
              <w:right w:val="nil"/>
            </w:tcBorders>
            <w:vAlign w:val="center"/>
            <w:hideMark/>
          </w:tcPr>
          <w:p w:rsidR="00FE7FEB" w:rsidRDefault="00FE7FEB" w:rsidP="00D816E6">
            <w:pPr>
              <w:spacing w:after="0"/>
              <w:rPr>
                <w:sz w:val="20"/>
                <w:szCs w:val="20"/>
                <w:lang w:eastAsia="tr-TR"/>
              </w:rPr>
            </w:pPr>
          </w:p>
        </w:tc>
      </w:tr>
      <w:tr w:rsidR="00FE7FEB" w:rsidTr="00D816E6">
        <w:trPr>
          <w:trHeight w:val="20"/>
          <w:tblHead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lang w:eastAsia="tr-TR"/>
              </w:rPr>
            </w:pP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noWrap/>
            <w:vAlign w:val="center"/>
            <w:hideMark/>
          </w:tcPr>
          <w:p w:rsidR="00FE7FEB" w:rsidRDefault="00FE7FEB" w:rsidP="00D816E6">
            <w:pPr>
              <w:spacing w:after="0" w:line="240" w:lineRule="auto"/>
              <w:jc w:val="center"/>
              <w:rPr>
                <w:rFonts w:ascii="Calibri" w:eastAsia="Times New Roman" w:hAnsi="Calibri"/>
                <w:b/>
                <w:bCs/>
                <w:color w:val="FFFFFF"/>
                <w:lang w:eastAsia="tr-TR"/>
              </w:rPr>
            </w:pPr>
            <w:r w:rsidRPr="00822B0A">
              <w:rPr>
                <w:rFonts w:eastAsia="Times New Roman" w:cs="Arial"/>
                <w:b/>
                <w:bCs/>
                <w:color w:val="FFFFFF"/>
                <w:lang w:eastAsia="tr-TR"/>
              </w:rPr>
              <w:t>LPG Distribution  License</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vAlign w:val="center"/>
            <w:hideMark/>
          </w:tcPr>
          <w:p w:rsidR="00FE7FEB" w:rsidRDefault="00FE7FEB" w:rsidP="00D816E6">
            <w:pPr>
              <w:spacing w:after="0" w:line="240" w:lineRule="auto"/>
              <w:jc w:val="center"/>
              <w:rPr>
                <w:rFonts w:ascii="Calibri" w:eastAsia="Times New Roman" w:hAnsi="Calibri"/>
                <w:b/>
                <w:bCs/>
                <w:color w:val="FFFFFF"/>
                <w:lang w:eastAsia="tr-TR"/>
              </w:rPr>
            </w:pPr>
            <w:r w:rsidRPr="00822B0A">
              <w:rPr>
                <w:rFonts w:eastAsia="Times New Roman" w:cs="Arial"/>
                <w:b/>
                <w:bCs/>
                <w:color w:val="FFFFFF"/>
                <w:lang w:eastAsia="tr-TR"/>
              </w:rPr>
              <w:t>LPG Storage License</w:t>
            </w: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Arial" w:eastAsia="Times New Roman" w:hAnsi="Arial" w:cs="Arial"/>
                <w:b/>
                <w:bCs/>
                <w:color w:val="FFFFFF"/>
                <w:sz w:val="20"/>
                <w:szCs w:val="20"/>
                <w:lang w:eastAsia="tr-TR"/>
              </w:rPr>
            </w:pPr>
          </w:p>
        </w:tc>
        <w:tc>
          <w:tcPr>
            <w:tcW w:w="6" w:type="dxa"/>
            <w:tcBorders>
              <w:top w:val="nil"/>
              <w:left w:val="nil"/>
              <w:bottom w:val="nil"/>
              <w:right w:val="nil"/>
            </w:tcBorders>
            <w:vAlign w:val="center"/>
            <w:hideMark/>
          </w:tcPr>
          <w:p w:rsidR="00FE7FEB" w:rsidRDefault="00FE7FEB" w:rsidP="00D816E6">
            <w:pPr>
              <w:rPr>
                <w:rFonts w:ascii="Calibri" w:eastAsia="Times New Roman" w:hAnsi="Calibri"/>
                <w:b/>
                <w:bCs/>
                <w:color w:val="FFFFFF"/>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HATAY</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835,000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211.260,000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212.095,000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27,22</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KOCAELİ</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1.250,000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192.299,722</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193.549,720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24,84</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İZMİR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126.722,980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126.722,980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16,26</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TEKİRDAĞ</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52.594,000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52.594,000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6,75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ANTALYA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37.139,000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37.139,000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4,77</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SAMSUN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26.711,000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26.711,000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3,43</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İSTANBUL</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8.188,000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15.755,000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23.943,000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3,07</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TRABZON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1.452,000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20.821,000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22.273,000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2,86</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ANKARA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1.725,000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15.775,000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17.500,000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KIRIKKALE</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5.787,000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7.946,000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13.733,000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1,76</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GİRESUN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6.139,000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6.139,000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0,79</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KONYA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2.520,000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1.743,000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4.263,000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0,55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OSMANİYE</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1.607,000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2.504,000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4.111,000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0,53</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ERZURUM</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4.035,000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4.035,000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0,52</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MARDİN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2.520,000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1.507,000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4.027,000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0,52</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ADIYAMAN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3.194,000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3.194,000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0,41</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DİYARBAKIR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2.595,000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2.595,000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0,33</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ISPARTA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1.755,000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1.755,000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0,23</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MALATYA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1.640,000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1.640,000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0,21</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AMASYA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1.550,000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1.550,000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0,2</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GAZİANTEP</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1.315,000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1.545,000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0,2</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00"/>
              <w:rPr>
                <w:rFonts w:ascii="Calibri" w:eastAsia="Times New Roman" w:hAnsi="Calibri"/>
                <w:color w:val="000000"/>
                <w:sz w:val="20"/>
                <w:szCs w:val="20"/>
                <w:lang w:eastAsia="tr-TR"/>
              </w:rPr>
            </w:pPr>
            <w:r>
              <w:rPr>
                <w:rFonts w:ascii="Calibri" w:eastAsia="Times New Roman" w:hAnsi="Calibri"/>
                <w:color w:val="000000"/>
                <w:sz w:val="20"/>
                <w:szCs w:val="20"/>
                <w:lang w:eastAsia="tr-TR"/>
              </w:rPr>
              <w:t>KAHRAMANMARAŞ</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1.165,000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215,000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1.380,000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0,18</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ÇORUM</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1.240,000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1.240,000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0,16</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NİĞDE</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1.040,000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1.205,000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MANİSA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1.177,000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1.177,000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ELAZIĞ</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920,000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1.150,000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MERSİN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110,000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1.000,000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1.110,000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0,14</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ÇANKIRI</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1.015,000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1.015,000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0,13</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BURSA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905,000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905,000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0,12</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AYDIN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870,000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870,000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0,11</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KAYSERİ</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813,000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813,000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TOKAT</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790,000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790,000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YOZGAT</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765,000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765,000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BURDUR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640,000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640,000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0,08</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VAN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575,000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575,000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0,07</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ESKİŞEHİR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476,000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476,000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0,06</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AKSARAY</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474,000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474,000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0,06</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ARTVİN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420,000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420,000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SİİRT</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410,000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410,000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ZONGULDAK</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365,000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365,000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0,05</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DENİZLİ</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345,000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345,000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0,04</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ERZİNCAN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345,000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345,000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0,04</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ORDU</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345,000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345,000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0,04</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SİVAS</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345,000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345,000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0,04</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ADANA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246,000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246,000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0,03</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IĞDIR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0,03</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KARABÜK</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0,03</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KİLİS</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0,02</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ind w:firstLineChars="100" w:firstLine="220"/>
              <w:rPr>
                <w:rFonts w:ascii="Calibri" w:eastAsia="Times New Roman" w:hAnsi="Calibri"/>
                <w:color w:val="000000"/>
                <w:lang w:eastAsia="tr-TR"/>
              </w:rPr>
            </w:pPr>
            <w:r>
              <w:rPr>
                <w:rFonts w:ascii="Calibri" w:eastAsia="Times New Roman" w:hAnsi="Calibri"/>
                <w:color w:val="000000"/>
                <w:lang w:eastAsia="tr-TR"/>
              </w:rPr>
              <w:t>BATMAN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Default="00FE7FEB" w:rsidP="00D816E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0,01</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color w:val="000000"/>
                <w:lang w:eastAsia="tr-TR"/>
              </w:rPr>
            </w:pPr>
          </w:p>
        </w:tc>
      </w:tr>
      <w:tr w:rsidR="00FE7FEB" w:rsidTr="00D816E6">
        <w:trPr>
          <w:trHeight w:val="20"/>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lang w:eastAsia="tr-TR"/>
              </w:rPr>
              <w:t xml:space="preserve">     Total</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40.368,00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738.827,70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779.195,70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100</w:t>
            </w:r>
          </w:p>
        </w:tc>
        <w:tc>
          <w:tcPr>
            <w:tcW w:w="6" w:type="dxa"/>
            <w:tcBorders>
              <w:top w:val="nil"/>
              <w:left w:val="nil"/>
              <w:bottom w:val="nil"/>
              <w:right w:val="nil"/>
            </w:tcBorders>
            <w:vAlign w:val="center"/>
            <w:hideMark/>
          </w:tcPr>
          <w:p w:rsidR="00FE7FEB" w:rsidRDefault="00FE7FEB" w:rsidP="00D816E6">
            <w:pPr>
              <w:rPr>
                <w:rFonts w:ascii="Calibri" w:eastAsia="Times New Roman" w:hAnsi="Calibri"/>
                <w:b/>
                <w:bCs/>
                <w:lang w:eastAsia="tr-TR"/>
              </w:rPr>
            </w:pPr>
          </w:p>
        </w:tc>
      </w:tr>
    </w:tbl>
    <w:p w:rsidR="00FE7FEB" w:rsidRDefault="00FE7FEB" w:rsidP="00FE7FEB"/>
    <w:p w:rsidR="00FE7FEB" w:rsidRPr="004530BB" w:rsidRDefault="00FE7FEB" w:rsidP="004530BB">
      <w:pPr>
        <w:pStyle w:val="Balk1"/>
      </w:pPr>
      <w:bookmarkStart w:id="123" w:name="_Toc442431264"/>
      <w:bookmarkStart w:id="124" w:name="_Toc514251642"/>
      <w:bookmarkStart w:id="125" w:name="_Toc12956330"/>
      <w:r w:rsidRPr="004530BB">
        <w:t>4.    PRICE FORMATION AND TARIFICATION ACTIVITIES</w:t>
      </w:r>
      <w:bookmarkEnd w:id="123"/>
      <w:bookmarkEnd w:id="124"/>
      <w:bookmarkEnd w:id="125"/>
    </w:p>
    <w:p w:rsidR="00FE7FEB" w:rsidRDefault="00FE7FEB" w:rsidP="00FE7FEB">
      <w:pPr>
        <w:spacing w:after="120" w:line="240" w:lineRule="auto"/>
        <w:jc w:val="both"/>
      </w:pPr>
      <w:r w:rsidRPr="00822B0A">
        <w:t>In this section, activities related to price formation and tarification are included for Electricity, Natural Gas, Petroleum and LPG markets in 2017.</w:t>
      </w:r>
    </w:p>
    <w:p w:rsidR="00FE7FEB" w:rsidRPr="00822B0A" w:rsidRDefault="00FE7FEB" w:rsidP="00FE7FEB">
      <w:pPr>
        <w:spacing w:after="0" w:line="240" w:lineRule="auto"/>
        <w:jc w:val="both"/>
      </w:pPr>
    </w:p>
    <w:p w:rsidR="00FE7FEB" w:rsidRPr="004530BB" w:rsidRDefault="00FE7FEB" w:rsidP="004530BB">
      <w:pPr>
        <w:pStyle w:val="Balk2"/>
      </w:pPr>
      <w:bookmarkStart w:id="126" w:name="_Toc442431265"/>
      <w:bookmarkStart w:id="127" w:name="_Toc505346062"/>
      <w:bookmarkStart w:id="128" w:name="_Toc514251643"/>
      <w:bookmarkStart w:id="129" w:name="_Toc12956331"/>
      <w:r w:rsidRPr="004530BB">
        <w:t>4.1.Electricity Market Tarif</w:t>
      </w:r>
      <w:bookmarkEnd w:id="126"/>
      <w:bookmarkEnd w:id="127"/>
      <w:bookmarkEnd w:id="128"/>
      <w:r w:rsidRPr="004530BB">
        <w:t>fs</w:t>
      </w:r>
      <w:bookmarkEnd w:id="129"/>
    </w:p>
    <w:p w:rsidR="00FE7FEB" w:rsidRDefault="00FE7FEB" w:rsidP="00FE7FEB">
      <w:pPr>
        <w:spacing w:after="120" w:line="240" w:lineRule="auto"/>
        <w:jc w:val="both"/>
      </w:pPr>
      <w:r w:rsidRPr="00822B0A">
        <w:t>The principles and procedures for preparation, examination, evaluatiation</w:t>
      </w:r>
      <w:r>
        <w:t>,</w:t>
      </w:r>
      <w:r w:rsidRPr="00822B0A">
        <w:t xml:space="preserve"> modification and approval of regulated tariffs in the Electricity Market are regulated in the Electricity Market Tariffs Regulation and in the relevant Communiqués.   </w:t>
      </w:r>
    </w:p>
    <w:p w:rsidR="00FE7FEB" w:rsidRDefault="00FE7FEB" w:rsidP="00FE7FEB">
      <w:pPr>
        <w:spacing w:after="120" w:line="240" w:lineRule="auto"/>
        <w:jc w:val="both"/>
      </w:pPr>
    </w:p>
    <w:p w:rsidR="00FE7FEB" w:rsidRPr="004530BB" w:rsidRDefault="00FE7FEB" w:rsidP="004530BB">
      <w:pPr>
        <w:pStyle w:val="Balk3"/>
      </w:pPr>
      <w:bookmarkStart w:id="130" w:name="_Toc442431266"/>
      <w:bookmarkStart w:id="131" w:name="_Toc505346063"/>
      <w:bookmarkStart w:id="132" w:name="_Toc514251644"/>
      <w:bookmarkStart w:id="133" w:name="_Toc12956332"/>
      <w:r w:rsidRPr="004530BB">
        <w:t>4.1.1.Transmission Tarif</w:t>
      </w:r>
      <w:bookmarkEnd w:id="130"/>
      <w:bookmarkEnd w:id="131"/>
      <w:bookmarkEnd w:id="132"/>
      <w:r w:rsidRPr="004530BB">
        <w:t>f</w:t>
      </w:r>
      <w:bookmarkEnd w:id="133"/>
    </w:p>
    <w:p w:rsidR="00FE7FEB" w:rsidRDefault="00FE7FEB" w:rsidP="00FE7FEB">
      <w:r w:rsidRPr="004360A3">
        <w:t>With the Board Decision dated 20.12.2018 and numbered 8271 published in the Official Gazette dated 23.12.2018 and numbered 30634, the system usage and system operation income ceilings of TEİAŞ for 2019 were approved as given in Table 4.1.</w:t>
      </w:r>
    </w:p>
    <w:p w:rsidR="00FE7FEB" w:rsidRPr="00542DD6" w:rsidRDefault="00FE7FEB" w:rsidP="00542DD6">
      <w:pPr>
        <w:pStyle w:val="Balk5"/>
        <w:rPr>
          <w:rStyle w:val="Gl"/>
          <w:b/>
          <w:bCs w:val="0"/>
        </w:rPr>
      </w:pPr>
      <w:bookmarkStart w:id="134" w:name="_Toc6684349"/>
      <w:bookmarkStart w:id="135" w:name="_Toc505346172"/>
      <w:bookmarkStart w:id="136" w:name="_Toc12958482"/>
      <w:r w:rsidRPr="00542DD6">
        <w:rPr>
          <w:rStyle w:val="Gl"/>
          <w:b/>
          <w:bCs w:val="0"/>
        </w:rPr>
        <w:t xml:space="preserve">Table 4.1: </w:t>
      </w:r>
      <w:bookmarkEnd w:id="134"/>
      <w:bookmarkEnd w:id="135"/>
      <w:r w:rsidRPr="00542DD6">
        <w:rPr>
          <w:rStyle w:val="Gl"/>
          <w:b/>
          <w:bCs w:val="0"/>
        </w:rPr>
        <w:t>System Use and System Operation Price Caps of TEİAŞ in 2019</w:t>
      </w:r>
      <w:bookmarkEnd w:id="136"/>
      <w:r w:rsidRPr="00542DD6">
        <w:rPr>
          <w:rStyle w:val="Gl"/>
          <w:b/>
          <w:bCs w:val="0"/>
        </w:rPr>
        <w:t xml:space="preserve"> </w:t>
      </w:r>
    </w:p>
    <w:tbl>
      <w:tblPr>
        <w:tblW w:w="5000" w:type="pct"/>
        <w:jc w:val="center"/>
        <w:tblCellMar>
          <w:left w:w="70" w:type="dxa"/>
          <w:right w:w="70" w:type="dxa"/>
        </w:tblCellMar>
        <w:tblLook w:val="04A0" w:firstRow="1" w:lastRow="0" w:firstColumn="1" w:lastColumn="0" w:noHBand="0" w:noVBand="1"/>
      </w:tblPr>
      <w:tblGrid>
        <w:gridCol w:w="5494"/>
        <w:gridCol w:w="2026"/>
        <w:gridCol w:w="2026"/>
      </w:tblGrid>
      <w:tr w:rsidR="00FE7FEB" w:rsidTr="00D816E6">
        <w:trPr>
          <w:trHeight w:val="522"/>
          <w:jc w:val="center"/>
        </w:trPr>
        <w:tc>
          <w:tcPr>
            <w:tcW w:w="2878" w:type="pct"/>
            <w:tcBorders>
              <w:top w:val="nil"/>
              <w:left w:val="nil"/>
              <w:bottom w:val="single" w:sz="4" w:space="0" w:color="D9D9D9" w:themeColor="background1" w:themeShade="D9"/>
              <w:right w:val="single" w:sz="4" w:space="0" w:color="D9D9D9" w:themeColor="background1" w:themeShade="D9"/>
            </w:tcBorders>
            <w:noWrap/>
            <w:vAlign w:val="center"/>
            <w:hideMark/>
          </w:tcPr>
          <w:p w:rsidR="00FE7FEB" w:rsidRDefault="00FE7FEB" w:rsidP="00D816E6">
            <w:pPr>
              <w:rPr>
                <w:rStyle w:val="Gl"/>
                <w:rFonts w:cstheme="majorBidi"/>
              </w:rPr>
            </w:pP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rFonts w:eastAsia="Times New Roman" w:cstheme="minorHAnsi"/>
                <w:b/>
                <w:bCs/>
                <w:color w:val="FFFFFF" w:themeColor="background1"/>
                <w:szCs w:val="24"/>
                <w:lang w:eastAsia="tr-TR"/>
              </w:rPr>
            </w:pPr>
            <w:r w:rsidRPr="00822B0A">
              <w:rPr>
                <w:rFonts w:eastAsia="Times New Roman" w:cstheme="minorHAnsi"/>
                <w:b/>
                <w:bCs/>
                <w:color w:val="FFFFFF" w:themeColor="background1"/>
                <w:szCs w:val="24"/>
                <w:lang w:eastAsia="tr-TR"/>
              </w:rPr>
              <w:t>System Use</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rFonts w:eastAsia="Times New Roman" w:cstheme="minorHAnsi"/>
                <w:b/>
                <w:bCs/>
                <w:color w:val="FFFFFF" w:themeColor="background1"/>
                <w:szCs w:val="24"/>
                <w:lang w:eastAsia="tr-TR"/>
              </w:rPr>
            </w:pPr>
            <w:r w:rsidRPr="00822B0A">
              <w:rPr>
                <w:rFonts w:eastAsia="Times New Roman" w:cstheme="minorHAnsi"/>
                <w:b/>
                <w:bCs/>
                <w:color w:val="FFFFFF" w:themeColor="background1"/>
                <w:szCs w:val="24"/>
                <w:lang w:eastAsia="tr-TR"/>
              </w:rPr>
              <w:t>System Operation</w:t>
            </w:r>
          </w:p>
        </w:tc>
      </w:tr>
      <w:tr w:rsidR="00FE7FEB" w:rsidTr="00D816E6">
        <w:trPr>
          <w:trHeight w:val="645"/>
          <w:jc w:val="center"/>
        </w:trPr>
        <w:tc>
          <w:tcPr>
            <w:tcW w:w="287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rPr>
                <w:rFonts w:eastAsia="Times New Roman" w:cstheme="minorHAnsi"/>
                <w:b/>
                <w:bCs/>
                <w:szCs w:val="24"/>
                <w:lang w:eastAsia="tr-TR"/>
              </w:rPr>
            </w:pPr>
            <w:r>
              <w:rPr>
                <w:rFonts w:eastAsia="Times New Roman" w:cstheme="minorHAnsi"/>
                <w:b/>
                <w:bCs/>
                <w:szCs w:val="24"/>
                <w:lang w:eastAsia="tr-TR"/>
              </w:rPr>
              <w:t xml:space="preserve">2019 </w:t>
            </w:r>
            <w:r w:rsidRPr="00822B0A">
              <w:rPr>
                <w:rFonts w:eastAsia="Times New Roman" w:cstheme="minorHAnsi"/>
                <w:b/>
                <w:bCs/>
                <w:szCs w:val="24"/>
                <w:lang w:eastAsia="tr-TR"/>
              </w:rPr>
              <w:t>Price Cap</w:t>
            </w:r>
            <w:r>
              <w:rPr>
                <w:rFonts w:eastAsia="Times New Roman" w:cstheme="minorHAnsi"/>
                <w:b/>
                <w:bCs/>
                <w:szCs w:val="24"/>
                <w:lang w:eastAsia="tr-TR"/>
              </w:rPr>
              <w:t xml:space="preserve"> (CPI=</w:t>
            </w:r>
            <w:r w:rsidRPr="00822B0A">
              <w:rPr>
                <w:rFonts w:eastAsia="Times New Roman" w:cstheme="minorHAnsi"/>
                <w:b/>
                <w:bCs/>
                <w:szCs w:val="24"/>
                <w:lang w:eastAsia="tr-TR"/>
              </w:rPr>
              <w:t>320,40 TL</w:t>
            </w:r>
            <w:r>
              <w:rPr>
                <w:rFonts w:eastAsia="Times New Roman" w:cstheme="minorHAnsi"/>
                <w:b/>
                <w:bCs/>
                <w:szCs w:val="24"/>
                <w:lang w:eastAsia="tr-TR"/>
              </w:rPr>
              <w:t>)</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cstheme="minorHAnsi"/>
                <w:szCs w:val="24"/>
                <w:lang w:eastAsia="tr-TR"/>
              </w:rPr>
            </w:pPr>
            <w:r>
              <w:rPr>
                <w:rFonts w:eastAsia="Times New Roman" w:cstheme="minorHAnsi"/>
                <w:szCs w:val="24"/>
                <w:lang w:eastAsia="tr-TR"/>
              </w:rPr>
              <w:t>9.898.743.342</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cstheme="minorHAnsi"/>
                <w:szCs w:val="24"/>
                <w:lang w:eastAsia="tr-TR"/>
              </w:rPr>
            </w:pPr>
            <w:r>
              <w:rPr>
                <w:rFonts w:eastAsia="Times New Roman" w:cstheme="minorHAnsi"/>
                <w:szCs w:val="24"/>
                <w:lang w:eastAsia="tr-TR"/>
              </w:rPr>
              <w:t>774.111.069</w:t>
            </w:r>
          </w:p>
        </w:tc>
      </w:tr>
    </w:tbl>
    <w:p w:rsidR="00FE7FEB" w:rsidRDefault="00FE7FEB" w:rsidP="00FE7FEB"/>
    <w:p w:rsidR="00FE7FEB" w:rsidRPr="00822B0A" w:rsidRDefault="00FE7FEB" w:rsidP="00FE7FEB">
      <w:pPr>
        <w:spacing w:after="120" w:line="240" w:lineRule="auto"/>
        <w:jc w:val="both"/>
      </w:pPr>
      <w:r w:rsidRPr="00822B0A">
        <w:rPr>
          <w:color w:val="000000" w:themeColor="text1"/>
        </w:rPr>
        <w:t xml:space="preserve">With the Board Decision dated </w:t>
      </w:r>
      <w:r>
        <w:rPr>
          <w:color w:val="000000"/>
        </w:rPr>
        <w:t>20.12.2018</w:t>
      </w:r>
      <w:r>
        <w:rPr>
          <w:color w:val="000000" w:themeColor="text1"/>
        </w:rPr>
        <w:t xml:space="preserve"> </w:t>
      </w:r>
      <w:r w:rsidRPr="00822B0A">
        <w:rPr>
          <w:color w:val="000000" w:themeColor="text1"/>
        </w:rPr>
        <w:t xml:space="preserve">and </w:t>
      </w:r>
      <w:r>
        <w:rPr>
          <w:color w:val="000000" w:themeColor="text1"/>
        </w:rPr>
        <w:t xml:space="preserve">numbered </w:t>
      </w:r>
      <w:r>
        <w:rPr>
          <w:color w:val="000000"/>
        </w:rPr>
        <w:t>8272</w:t>
      </w:r>
      <w:r w:rsidRPr="00822B0A">
        <w:rPr>
          <w:color w:val="000000" w:themeColor="text1"/>
        </w:rPr>
        <w:t xml:space="preserve"> published in the Offcial Gazette dated </w:t>
      </w:r>
      <w:r>
        <w:rPr>
          <w:color w:val="000000" w:themeColor="text1"/>
        </w:rPr>
        <w:t xml:space="preserve">23.12.2018 </w:t>
      </w:r>
      <w:r w:rsidRPr="00822B0A">
        <w:rPr>
          <w:color w:val="000000"/>
        </w:rPr>
        <w:t xml:space="preserve">and bis numbered </w:t>
      </w:r>
      <w:r>
        <w:rPr>
          <w:color w:val="000000"/>
        </w:rPr>
        <w:t>30634</w:t>
      </w:r>
      <w:r w:rsidRPr="00822B0A">
        <w:rPr>
          <w:color w:val="000000"/>
        </w:rPr>
        <w:t xml:space="preserve">, transmission system system use and system operation prices of TEİAŞ to be applicable as of </w:t>
      </w:r>
      <w:r w:rsidRPr="00822B0A">
        <w:t>01/01/201</w:t>
      </w:r>
      <w:r>
        <w:t>9</w:t>
      </w:r>
      <w:r w:rsidRPr="00822B0A">
        <w:t xml:space="preserve"> were determined as follows based on 14 regions as per the Methodology Notification on Calculation and Implementation of the System Use and System Operation Tariffs for generators and consumers;</w:t>
      </w:r>
    </w:p>
    <w:p w:rsidR="00FE7FEB" w:rsidRDefault="00FE7FEB" w:rsidP="00FE7FEB"/>
    <w:p w:rsidR="00FE7FEB" w:rsidRPr="00542DD6" w:rsidRDefault="00FE7FEB" w:rsidP="00542DD6">
      <w:pPr>
        <w:pStyle w:val="Balk5"/>
      </w:pPr>
      <w:bookmarkStart w:id="137" w:name="_Toc416447595"/>
      <w:bookmarkStart w:id="138" w:name="_Toc442441743"/>
      <w:bookmarkStart w:id="139" w:name="_Toc505346173"/>
      <w:bookmarkStart w:id="140" w:name="_Toc512874139"/>
      <w:bookmarkStart w:id="141" w:name="_Toc12958483"/>
      <w:r w:rsidRPr="00542DD6">
        <w:rPr>
          <w:rStyle w:val="Gl"/>
          <w:b/>
          <w:bCs w:val="0"/>
        </w:rPr>
        <w:t>Table 4.2: Transmission System Use and System Operation Tariffs</w:t>
      </w:r>
      <w:bookmarkEnd w:id="137"/>
      <w:bookmarkEnd w:id="138"/>
      <w:bookmarkEnd w:id="139"/>
      <w:bookmarkEnd w:id="140"/>
      <w:bookmarkEnd w:id="14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827"/>
        <w:gridCol w:w="1533"/>
        <w:gridCol w:w="1328"/>
        <w:gridCol w:w="1328"/>
        <w:gridCol w:w="1874"/>
        <w:gridCol w:w="1328"/>
        <w:gridCol w:w="1328"/>
      </w:tblGrid>
      <w:tr w:rsidR="00FE7FEB" w:rsidTr="00D816E6">
        <w:trPr>
          <w:trHeight w:val="20"/>
        </w:trPr>
        <w:tc>
          <w:tcPr>
            <w:tcW w:w="443"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D6535" w:rsidRDefault="00FE7FEB" w:rsidP="00D816E6">
            <w:pPr>
              <w:spacing w:after="0" w:line="240" w:lineRule="auto"/>
              <w:jc w:val="center"/>
              <w:rPr>
                <w:rFonts w:ascii="Calibri" w:eastAsia="Times New Roman" w:hAnsi="Calibri"/>
                <w:b/>
                <w:bCs/>
                <w:color w:val="FFFFFF"/>
                <w:sz w:val="24"/>
                <w:szCs w:val="24"/>
                <w:lang w:val="tr-TR" w:eastAsia="tr-TR"/>
              </w:rPr>
            </w:pPr>
            <w:r w:rsidRPr="009D6535">
              <w:rPr>
                <w:b/>
                <w:color w:val="FFFFFF" w:themeColor="background1"/>
                <w:sz w:val="24"/>
                <w:szCs w:val="24"/>
              </w:rPr>
              <w:t>Region</w:t>
            </w:r>
          </w:p>
        </w:tc>
        <w:tc>
          <w:tcPr>
            <w:tcW w:w="2278"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sidRPr="009D6535">
              <w:rPr>
                <w:b/>
                <w:color w:val="FFFFFF" w:themeColor="background1"/>
                <w:sz w:val="24"/>
                <w:szCs w:val="24"/>
              </w:rPr>
              <w:t>Generation</w:t>
            </w:r>
            <w:r w:rsidRPr="009D6535">
              <w:rPr>
                <w:b/>
                <w:color w:val="FFFFFF" w:themeColor="background1"/>
                <w:vertAlign w:val="superscript"/>
              </w:rPr>
              <w:t>(1)</w:t>
            </w:r>
          </w:p>
        </w:tc>
        <w:tc>
          <w:tcPr>
            <w:tcW w:w="2278"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sidRPr="009D6535">
              <w:rPr>
                <w:b/>
                <w:color w:val="FFFFFF" w:themeColor="background1"/>
                <w:sz w:val="24"/>
                <w:szCs w:val="24"/>
              </w:rPr>
              <w:t>Consumption</w:t>
            </w:r>
            <w:r>
              <w:rPr>
                <w:rFonts w:ascii="Calibri" w:eastAsia="Times New Roman" w:hAnsi="Calibri"/>
                <w:b/>
                <w:bCs/>
                <w:color w:val="000000"/>
                <w:vertAlign w:val="superscript"/>
                <w:lang w:eastAsia="tr-TR"/>
              </w:rPr>
              <w:t xml:space="preserve"> (1)</w:t>
            </w:r>
          </w:p>
        </w:tc>
      </w:tr>
      <w:tr w:rsidR="00FE7FEB" w:rsidTr="00D816E6">
        <w:trPr>
          <w:trHeight w:val="2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sz w:val="24"/>
                <w:szCs w:val="24"/>
                <w:lang w:eastAsia="tr-TR"/>
              </w:rPr>
            </w:pPr>
          </w:p>
        </w:tc>
        <w:tc>
          <w:tcPr>
            <w:tcW w:w="1724"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sidRPr="009D6535">
              <w:rPr>
                <w:b/>
                <w:color w:val="FFFFFF" w:themeColor="background1"/>
                <w:sz w:val="24"/>
                <w:szCs w:val="24"/>
              </w:rPr>
              <w:t>Use of System</w:t>
            </w:r>
            <w:r w:rsidRPr="009D6535">
              <w:rPr>
                <w:rFonts w:ascii="Calibri" w:eastAsia="Times New Roman" w:hAnsi="Calibri"/>
                <w:b/>
                <w:bCs/>
                <w:color w:val="FFFFFF" w:themeColor="background1"/>
                <w:sz w:val="24"/>
                <w:szCs w:val="24"/>
                <w:vertAlign w:val="superscript"/>
                <w:lang w:eastAsia="tr-TR"/>
              </w:rPr>
              <w:t xml:space="preserve"> </w:t>
            </w:r>
            <w:r>
              <w:rPr>
                <w:rFonts w:ascii="Calibri" w:eastAsia="Times New Roman" w:hAnsi="Calibri"/>
                <w:b/>
                <w:bCs/>
                <w:color w:val="000000"/>
                <w:vertAlign w:val="superscript"/>
                <w:lang w:eastAsia="tr-TR"/>
              </w:rPr>
              <w:t>(2)</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sidRPr="009D6535">
              <w:rPr>
                <w:b/>
                <w:color w:val="FFFFFF" w:themeColor="background1"/>
                <w:sz w:val="24"/>
                <w:szCs w:val="24"/>
              </w:rPr>
              <w:t>System Operation</w:t>
            </w:r>
          </w:p>
        </w:tc>
        <w:tc>
          <w:tcPr>
            <w:tcW w:w="1724"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vertAlign w:val="superscript"/>
                <w:lang w:eastAsia="tr-TR"/>
              </w:rPr>
            </w:pPr>
            <w:r w:rsidRPr="009D6535">
              <w:rPr>
                <w:b/>
                <w:color w:val="FFFFFF" w:themeColor="background1"/>
                <w:sz w:val="24"/>
                <w:szCs w:val="24"/>
              </w:rPr>
              <w:t>Use of System</w:t>
            </w:r>
            <w:r w:rsidRPr="009D6535">
              <w:rPr>
                <w:rFonts w:ascii="Calibri" w:eastAsia="Times New Roman" w:hAnsi="Calibri"/>
                <w:b/>
                <w:bCs/>
                <w:color w:val="FFFFFF" w:themeColor="background1"/>
                <w:sz w:val="24"/>
                <w:szCs w:val="24"/>
                <w:vertAlign w:val="superscript"/>
                <w:lang w:eastAsia="tr-TR"/>
              </w:rPr>
              <w:t xml:space="preserve"> </w:t>
            </w:r>
            <w:r>
              <w:rPr>
                <w:rFonts w:ascii="Calibri" w:eastAsia="Times New Roman" w:hAnsi="Calibri"/>
                <w:b/>
                <w:bCs/>
                <w:sz w:val="24"/>
                <w:szCs w:val="24"/>
                <w:vertAlign w:val="superscript"/>
                <w:lang w:eastAsia="tr-TR"/>
              </w:rPr>
              <w:t>(2)</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sidRPr="009D6535">
              <w:rPr>
                <w:b/>
                <w:color w:val="FFFFFF" w:themeColor="background1"/>
                <w:sz w:val="24"/>
                <w:szCs w:val="24"/>
              </w:rPr>
              <w:t>System Operation</w:t>
            </w:r>
          </w:p>
        </w:tc>
      </w:tr>
      <w:tr w:rsidR="00FE7FEB" w:rsidTr="00D816E6">
        <w:trPr>
          <w:trHeight w:val="2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sz w:val="24"/>
                <w:szCs w:val="24"/>
                <w:lang w:eastAsia="tr-TR"/>
              </w:rPr>
            </w:pP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Pr>
                <w:b/>
                <w:color w:val="FFFFFF" w:themeColor="background1"/>
                <w:sz w:val="24"/>
                <w:szCs w:val="24"/>
              </w:rPr>
              <w:t>(</w:t>
            </w:r>
            <w:r w:rsidRPr="009D6535">
              <w:rPr>
                <w:b/>
                <w:color w:val="FFFFFF" w:themeColor="background1"/>
                <w:sz w:val="24"/>
                <w:szCs w:val="24"/>
              </w:rPr>
              <w:t>TRY/MW-y</w:t>
            </w:r>
            <w:r>
              <w:rPr>
                <w:b/>
                <w:color w:val="FFFFFF" w:themeColor="background1"/>
                <w:sz w:val="24"/>
                <w:szCs w:val="24"/>
              </w:rPr>
              <w:t>)</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Pr>
                <w:rFonts w:ascii="Calibri" w:eastAsia="Times New Roman" w:hAnsi="Calibri"/>
                <w:b/>
                <w:bCs/>
                <w:color w:val="FFFFFF"/>
                <w:sz w:val="24"/>
                <w:szCs w:val="24"/>
                <w:lang w:eastAsia="tr-TR"/>
              </w:rPr>
              <w:t>(</w:t>
            </w:r>
            <w:r w:rsidRPr="009D6535">
              <w:rPr>
                <w:b/>
                <w:color w:val="FFFFFF" w:themeColor="background1"/>
                <w:sz w:val="24"/>
                <w:szCs w:val="24"/>
              </w:rPr>
              <w:t>TRY/MWh</w:t>
            </w:r>
            <w:r>
              <w:rPr>
                <w:rFonts w:ascii="Calibri" w:eastAsia="Times New Roman" w:hAnsi="Calibri"/>
                <w:b/>
                <w:bCs/>
                <w:color w:val="FFFFFF"/>
                <w:sz w:val="24"/>
                <w:szCs w:val="24"/>
                <w:lang w:eastAsia="tr-TR"/>
              </w:rPr>
              <w:t>)</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Pr>
                <w:rFonts w:ascii="Calibri" w:eastAsia="Times New Roman" w:hAnsi="Calibri"/>
                <w:b/>
                <w:bCs/>
                <w:color w:val="FFFFFF"/>
                <w:sz w:val="24"/>
                <w:szCs w:val="24"/>
                <w:lang w:eastAsia="tr-TR"/>
              </w:rPr>
              <w:t>(</w:t>
            </w:r>
            <w:r w:rsidRPr="009D6535">
              <w:rPr>
                <w:b/>
                <w:color w:val="FFFFFF" w:themeColor="background1"/>
                <w:sz w:val="24"/>
                <w:szCs w:val="24"/>
              </w:rPr>
              <w:t>TRY/MWh</w:t>
            </w:r>
            <w:r>
              <w:rPr>
                <w:rFonts w:ascii="Calibri" w:eastAsia="Times New Roman" w:hAnsi="Calibri"/>
                <w:b/>
                <w:bCs/>
                <w:color w:val="FFFFFF"/>
                <w:sz w:val="24"/>
                <w:szCs w:val="24"/>
                <w:lang w:eastAsia="tr-TR"/>
              </w:rPr>
              <w:t>)</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Pr>
                <w:rFonts w:ascii="Calibri" w:eastAsia="Times New Roman" w:hAnsi="Calibri"/>
                <w:b/>
                <w:bCs/>
                <w:color w:val="FFFFFF"/>
                <w:sz w:val="24"/>
                <w:szCs w:val="24"/>
                <w:lang w:eastAsia="tr-TR"/>
              </w:rPr>
              <w:t>(</w:t>
            </w:r>
            <w:r w:rsidRPr="009D6535">
              <w:rPr>
                <w:b/>
                <w:color w:val="FFFFFF" w:themeColor="background1"/>
                <w:sz w:val="24"/>
                <w:szCs w:val="24"/>
              </w:rPr>
              <w:t>TRY/MW-y</w:t>
            </w:r>
            <w:r>
              <w:rPr>
                <w:rFonts w:ascii="Calibri" w:eastAsia="Times New Roman" w:hAnsi="Calibri"/>
                <w:b/>
                <w:bCs/>
                <w:color w:val="FFFFFF"/>
                <w:sz w:val="24"/>
                <w:szCs w:val="24"/>
                <w:lang w:eastAsia="tr-TR"/>
              </w:rPr>
              <w:t>)</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Pr>
                <w:rFonts w:ascii="Calibri" w:eastAsia="Times New Roman" w:hAnsi="Calibri"/>
                <w:b/>
                <w:bCs/>
                <w:color w:val="FFFFFF"/>
                <w:sz w:val="24"/>
                <w:szCs w:val="24"/>
                <w:lang w:eastAsia="tr-TR"/>
              </w:rPr>
              <w:t>(</w:t>
            </w:r>
            <w:r w:rsidRPr="009D6535">
              <w:rPr>
                <w:b/>
                <w:color w:val="FFFFFF" w:themeColor="background1"/>
                <w:sz w:val="24"/>
                <w:szCs w:val="24"/>
              </w:rPr>
              <w:t>TRY/MWh</w:t>
            </w:r>
            <w:r>
              <w:rPr>
                <w:rFonts w:ascii="Calibri" w:eastAsia="Times New Roman" w:hAnsi="Calibri"/>
                <w:b/>
                <w:bCs/>
                <w:color w:val="FFFFFF"/>
                <w:sz w:val="24"/>
                <w:szCs w:val="24"/>
                <w:lang w:eastAsia="tr-TR"/>
              </w:rPr>
              <w:t>)</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sz w:val="24"/>
                <w:szCs w:val="24"/>
                <w:lang w:eastAsia="tr-TR"/>
              </w:rPr>
            </w:pPr>
            <w:r>
              <w:rPr>
                <w:rFonts w:ascii="Calibri" w:eastAsia="Times New Roman" w:hAnsi="Calibri"/>
                <w:b/>
                <w:bCs/>
                <w:color w:val="FFFFFF"/>
                <w:sz w:val="24"/>
                <w:szCs w:val="24"/>
                <w:lang w:eastAsia="tr-TR"/>
              </w:rPr>
              <w:t>(</w:t>
            </w:r>
            <w:r w:rsidRPr="009D6535">
              <w:rPr>
                <w:b/>
                <w:color w:val="FFFFFF" w:themeColor="background1"/>
                <w:sz w:val="24"/>
                <w:szCs w:val="24"/>
              </w:rPr>
              <w:t>TRY/MWh</w:t>
            </w:r>
            <w:r>
              <w:rPr>
                <w:rFonts w:ascii="Calibri" w:eastAsia="Times New Roman" w:hAnsi="Calibri"/>
                <w:b/>
                <w:bCs/>
                <w:color w:val="FFFFFF"/>
                <w:sz w:val="24"/>
                <w:szCs w:val="24"/>
                <w:lang w:eastAsia="tr-TR"/>
              </w:rPr>
              <w:t>)</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31.888,23</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56.389,88</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2</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34.764,81</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54.785,77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3</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35.082,33</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54.900,23</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35.536,39</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54.327,54</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5</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37.081,69</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53.474,50</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6</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38.967,37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52.046,79</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7</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39.190,97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50.780,19</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8</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43.168,32</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49.259,94</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9</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44.864,33</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47.596,74</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49.817,94</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45.343,64</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11</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52.471,90</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43.634,42</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12</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54.714,44</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42.089,39</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13</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57.059,70</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41.010,52</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r w:rsidR="00FE7FEB" w:rsidTr="00D816E6">
        <w:trPr>
          <w:trHeight w:val="20"/>
        </w:trPr>
        <w:tc>
          <w:tcPr>
            <w:tcW w:w="4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61.205,80</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7,17</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w:t>
            </w:r>
          </w:p>
        </w:tc>
        <w:tc>
          <w:tcPr>
            <w:tcW w:w="11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37.792,32</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6,5</w:t>
            </w:r>
          </w:p>
        </w:tc>
        <w:tc>
          <w:tcPr>
            <w:tcW w:w="5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1,46</w:t>
            </w:r>
          </w:p>
        </w:tc>
      </w:tr>
    </w:tbl>
    <w:p w:rsidR="00FE7FEB" w:rsidRPr="009D6535" w:rsidRDefault="00FE7FEB" w:rsidP="00E37E90">
      <w:pPr>
        <w:pStyle w:val="ListeParagraf"/>
        <w:numPr>
          <w:ilvl w:val="0"/>
          <w:numId w:val="23"/>
        </w:numPr>
        <w:spacing w:after="200" w:line="276" w:lineRule="auto"/>
        <w:jc w:val="both"/>
      </w:pPr>
      <w:r w:rsidRPr="009D6535">
        <w:t>Transmission surcharge is not included.</w:t>
      </w:r>
    </w:p>
    <w:p w:rsidR="00FE7FEB" w:rsidRPr="009D6535" w:rsidRDefault="00FE7FEB" w:rsidP="00E37E90">
      <w:pPr>
        <w:pStyle w:val="ListeParagraf"/>
        <w:numPr>
          <w:ilvl w:val="0"/>
          <w:numId w:val="23"/>
        </w:numPr>
        <w:spacing w:after="200" w:line="276" w:lineRule="auto"/>
        <w:jc w:val="both"/>
      </w:pPr>
      <w:r w:rsidRPr="009D6535">
        <w:t xml:space="preserve">Applied in half to generation facilities subject to Provisional Article 4 the EML numbered 6446. </w:t>
      </w:r>
    </w:p>
    <w:p w:rsidR="00FE7FEB" w:rsidRDefault="00FE7FEB" w:rsidP="00FE7FEB"/>
    <w:p w:rsidR="00FE7FEB" w:rsidRPr="004530BB" w:rsidRDefault="00FE7FEB" w:rsidP="004530BB">
      <w:pPr>
        <w:pStyle w:val="Balk4"/>
      </w:pPr>
      <w:bookmarkStart w:id="142" w:name="_Toc442431267"/>
      <w:bookmarkStart w:id="143" w:name="_Toc505346064"/>
      <w:bookmarkStart w:id="144" w:name="_Toc514251645"/>
      <w:r w:rsidRPr="004530BB">
        <w:t>4.1.1.1.Primery Frequency Control Unit Service Fee</w:t>
      </w:r>
      <w:bookmarkEnd w:id="142"/>
      <w:bookmarkEnd w:id="143"/>
      <w:bookmarkEnd w:id="144"/>
    </w:p>
    <w:p w:rsidR="00FE7FEB" w:rsidRPr="00A91804" w:rsidRDefault="00FE7FEB" w:rsidP="00FE7FEB">
      <w:r w:rsidRPr="00A91804">
        <w:t>The primary frequency control unit service fee approved by the Authority for the first quarter of 2018 as per Article 14 of the Abolished Electricity Market Ancillary Services Regulation is given in Table 4.3. After the Electricity Market Ancillary Services Regulation published in the Official Gazette dated 26.11.2017 and numbered 30252 came into force on 1.2.2018, the Primary Frequency Control Service Fee has been determined by the tender system as of this date.</w:t>
      </w:r>
    </w:p>
    <w:p w:rsidR="00FE7FEB" w:rsidRDefault="00FE7FEB" w:rsidP="00FE7FEB"/>
    <w:p w:rsidR="00FE7FEB" w:rsidRPr="00542DD6" w:rsidRDefault="00FE7FEB" w:rsidP="00542DD6">
      <w:pPr>
        <w:pStyle w:val="Balk5"/>
      </w:pPr>
      <w:bookmarkStart w:id="145" w:name="_Toc416447599"/>
      <w:bookmarkStart w:id="146" w:name="_Toc442441746"/>
      <w:bookmarkStart w:id="147" w:name="_Toc505346174"/>
      <w:bookmarkStart w:id="148" w:name="_Toc512874140"/>
      <w:bookmarkStart w:id="149" w:name="_Toc12958484"/>
      <w:r w:rsidRPr="00542DD6">
        <w:rPr>
          <w:rStyle w:val="Gl"/>
          <w:b/>
          <w:bCs w:val="0"/>
        </w:rPr>
        <w:t>Table 4.3: Primery Frequency Control Service Fee</w:t>
      </w:r>
      <w:bookmarkEnd w:id="145"/>
      <w:bookmarkEnd w:id="146"/>
      <w:bookmarkEnd w:id="147"/>
      <w:bookmarkEnd w:id="148"/>
      <w:bookmarkEnd w:id="149"/>
    </w:p>
    <w:tbl>
      <w:tblPr>
        <w:tblW w:w="950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99"/>
        <w:gridCol w:w="2552"/>
        <w:gridCol w:w="2474"/>
        <w:gridCol w:w="2275"/>
      </w:tblGrid>
      <w:tr w:rsidR="00FE7FEB" w:rsidTr="00D816E6">
        <w:trPr>
          <w:jc w:val="center"/>
        </w:trPr>
        <w:tc>
          <w:tcPr>
            <w:tcW w:w="219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bottom"/>
            <w:hideMark/>
          </w:tcPr>
          <w:p w:rsidR="00FE7FEB" w:rsidRPr="00822B0A" w:rsidRDefault="00FE7FEB" w:rsidP="00D816E6">
            <w:pPr>
              <w:spacing w:after="0" w:line="240" w:lineRule="auto"/>
              <w:jc w:val="center"/>
              <w:rPr>
                <w:b/>
                <w:bCs/>
                <w:color w:val="FFFFFF" w:themeColor="background1"/>
              </w:rPr>
            </w:pPr>
            <w:r w:rsidRPr="00822B0A">
              <w:rPr>
                <w:b/>
                <w:bCs/>
                <w:color w:val="FFFFFF" w:themeColor="background1"/>
              </w:rPr>
              <w:t xml:space="preserve">Board Decision </w:t>
            </w:r>
          </w:p>
          <w:p w:rsidR="00FE7FEB" w:rsidRDefault="00FE7FEB" w:rsidP="00D816E6">
            <w:pPr>
              <w:spacing w:after="0" w:line="240" w:lineRule="auto"/>
              <w:jc w:val="center"/>
              <w:rPr>
                <w:b/>
                <w:bCs/>
                <w:color w:val="FFFFFF" w:themeColor="background1"/>
              </w:rPr>
            </w:pPr>
            <w:r w:rsidRPr="00822B0A">
              <w:rPr>
                <w:b/>
                <w:bCs/>
                <w:color w:val="FFFFFF" w:themeColor="background1"/>
              </w:rPr>
              <w:t>date and number</w:t>
            </w:r>
          </w:p>
        </w:tc>
        <w:tc>
          <w:tcPr>
            <w:tcW w:w="255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spacing w:after="0" w:line="240" w:lineRule="auto"/>
              <w:jc w:val="center"/>
              <w:rPr>
                <w:b/>
                <w:bCs/>
                <w:color w:val="FFFFFF" w:themeColor="background1"/>
              </w:rPr>
            </w:pPr>
            <w:r w:rsidRPr="00822B0A">
              <w:rPr>
                <w:b/>
                <w:bCs/>
                <w:color w:val="FFFFFF" w:themeColor="background1"/>
              </w:rPr>
              <w:t>Effectiveness date</w:t>
            </w:r>
          </w:p>
        </w:tc>
        <w:tc>
          <w:tcPr>
            <w:tcW w:w="247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822B0A" w:rsidRDefault="00FE7FEB" w:rsidP="00D816E6">
            <w:pPr>
              <w:spacing w:after="0" w:line="240" w:lineRule="auto"/>
              <w:jc w:val="center"/>
              <w:rPr>
                <w:b/>
                <w:bCs/>
                <w:color w:val="FFFFFF" w:themeColor="background1"/>
              </w:rPr>
            </w:pPr>
            <w:r w:rsidRPr="00822B0A">
              <w:rPr>
                <w:b/>
                <w:bCs/>
                <w:color w:val="FFFFFF" w:themeColor="background1"/>
              </w:rPr>
              <w:t xml:space="preserve">Official Gazette </w:t>
            </w:r>
          </w:p>
          <w:p w:rsidR="00FE7FEB" w:rsidRDefault="00FE7FEB" w:rsidP="00D816E6">
            <w:pPr>
              <w:spacing w:after="0" w:line="240" w:lineRule="auto"/>
              <w:jc w:val="center"/>
              <w:rPr>
                <w:b/>
                <w:bCs/>
                <w:color w:val="FFFFFF" w:themeColor="background1"/>
              </w:rPr>
            </w:pPr>
            <w:r w:rsidRPr="00822B0A">
              <w:rPr>
                <w:b/>
                <w:bCs/>
                <w:color w:val="FFFFFF" w:themeColor="background1"/>
              </w:rPr>
              <w:t>date and number</w:t>
            </w:r>
          </w:p>
        </w:tc>
        <w:tc>
          <w:tcPr>
            <w:tcW w:w="227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bottom"/>
            <w:hideMark/>
          </w:tcPr>
          <w:p w:rsidR="00FE7FEB" w:rsidRDefault="00FE7FEB" w:rsidP="00D816E6">
            <w:pPr>
              <w:spacing w:after="0" w:line="240" w:lineRule="auto"/>
              <w:jc w:val="center"/>
              <w:rPr>
                <w:b/>
                <w:bCs/>
                <w:color w:val="FFFFFF" w:themeColor="background1"/>
              </w:rPr>
            </w:pPr>
            <w:r w:rsidRPr="00822B0A">
              <w:rPr>
                <w:b/>
                <w:bCs/>
                <w:color w:val="FFFFFF" w:themeColor="background1"/>
              </w:rPr>
              <w:t>Unit Service Cost TL/MWh</w:t>
            </w:r>
          </w:p>
        </w:tc>
      </w:tr>
      <w:tr w:rsidR="00FE7FEB" w:rsidTr="00D816E6">
        <w:trPr>
          <w:trHeight w:hRule="exact" w:val="584"/>
          <w:jc w:val="center"/>
        </w:trPr>
        <w:tc>
          <w:tcPr>
            <w:tcW w:w="219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t>18/01/2018-7649-2</w:t>
            </w:r>
          </w:p>
        </w:tc>
        <w:tc>
          <w:tcPr>
            <w:tcW w:w="255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center"/>
              <w:rPr>
                <w:color w:val="000000" w:themeColor="text1"/>
              </w:rPr>
            </w:pPr>
            <w:r>
              <w:rPr>
                <w:color w:val="000000" w:themeColor="text1"/>
              </w:rPr>
              <w:t>01/01/2018</w:t>
            </w:r>
          </w:p>
        </w:tc>
        <w:tc>
          <w:tcPr>
            <w:tcW w:w="247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center"/>
              <w:rPr>
                <w:color w:val="000000" w:themeColor="text1"/>
              </w:rPr>
            </w:pPr>
            <w:r>
              <w:rPr>
                <w:color w:val="000000" w:themeColor="text1"/>
              </w:rPr>
              <w:t>23/01/2018-30310</w:t>
            </w:r>
          </w:p>
        </w:tc>
        <w:tc>
          <w:tcPr>
            <w:tcW w:w="227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pPr>
            <w:r>
              <w:t>11.63</w:t>
            </w:r>
          </w:p>
        </w:tc>
      </w:tr>
    </w:tbl>
    <w:p w:rsidR="00FE7FEB" w:rsidRDefault="00FE7FEB" w:rsidP="00FE7FEB"/>
    <w:p w:rsidR="00FE7FEB" w:rsidRPr="004530BB" w:rsidRDefault="00FE7FEB" w:rsidP="004530BB">
      <w:pPr>
        <w:pStyle w:val="Balk4"/>
      </w:pPr>
      <w:r w:rsidRPr="004530BB">
        <w:t>4.1.1.2.Transmission Surcharge</w:t>
      </w:r>
    </w:p>
    <w:p w:rsidR="00FE7FEB" w:rsidRDefault="00FE7FEB" w:rsidP="00FE7FEB">
      <w:pPr>
        <w:pStyle w:val="stbilgi"/>
        <w:spacing w:after="120"/>
        <w:jc w:val="both"/>
      </w:pPr>
      <w:bookmarkStart w:id="150" w:name="_top"/>
      <w:bookmarkEnd w:id="150"/>
      <w:r w:rsidRPr="00822B0A">
        <w:rPr>
          <w:rFonts w:cs="Arial"/>
        </w:rPr>
        <w:t xml:space="preserve">With the Board Decision dated </w:t>
      </w:r>
      <w:r>
        <w:t xml:space="preserve">12.10.2018 </w:t>
      </w:r>
      <w:r w:rsidRPr="00822B0A">
        <w:rPr>
          <w:rFonts w:cs="Arial"/>
        </w:rPr>
        <w:t xml:space="preserve">and numbered </w:t>
      </w:r>
      <w:r>
        <w:t>8121</w:t>
      </w:r>
      <w:r w:rsidRPr="00822B0A">
        <w:rPr>
          <w:rFonts w:cs="Arial"/>
        </w:rPr>
        <w:t xml:space="preserve"> published in the Official Gazette dated </w:t>
      </w:r>
      <w:r>
        <w:rPr>
          <w:rFonts w:cs="Arial"/>
        </w:rPr>
        <w:t xml:space="preserve">16.10.2018 </w:t>
      </w:r>
      <w:r w:rsidRPr="00822B0A">
        <w:rPr>
          <w:rFonts w:cs="Arial"/>
        </w:rPr>
        <w:t>dated</w:t>
      </w:r>
      <w:r>
        <w:rPr>
          <w:rFonts w:cs="Arial"/>
        </w:rPr>
        <w:t xml:space="preserve"> and numbered 30567</w:t>
      </w:r>
      <w:r w:rsidRPr="00822B0A">
        <w:rPr>
          <w:rFonts w:cs="Arial"/>
        </w:rPr>
        <w:t xml:space="preserve">, the transmission surcharge to be applied in 2018 as per the clause (h) of the paragraph seven of Art. 5 </w:t>
      </w:r>
      <w:r w:rsidRPr="00822B0A">
        <w:t>and the caluse (e) of the paragraph(1-A) of Art. 10 of Law No: 4628, was determined as 0,5% of TEİAŞ’s transmission tariff.</w:t>
      </w:r>
    </w:p>
    <w:p w:rsidR="00FE7FEB" w:rsidRDefault="00FE7FEB" w:rsidP="00FE7FEB"/>
    <w:p w:rsidR="00FE7FEB" w:rsidRPr="004530BB" w:rsidRDefault="00FE7FEB" w:rsidP="004530BB">
      <w:pPr>
        <w:pStyle w:val="Balk3"/>
      </w:pPr>
      <w:bookmarkStart w:id="151" w:name="_Toc442431269"/>
      <w:bookmarkStart w:id="152" w:name="_Toc505346066"/>
      <w:bookmarkStart w:id="153" w:name="_Toc514251647"/>
      <w:bookmarkStart w:id="154" w:name="_Toc12956333"/>
      <w:r w:rsidRPr="004530BB">
        <w:t>4.1.2.Distribution and Wholesale Tariffs</w:t>
      </w:r>
      <w:bookmarkEnd w:id="151"/>
      <w:bookmarkEnd w:id="152"/>
      <w:bookmarkEnd w:id="153"/>
      <w:bookmarkEnd w:id="154"/>
    </w:p>
    <w:p w:rsidR="00FE7FEB" w:rsidRDefault="00FE7FEB" w:rsidP="00FE7FEB">
      <w:r w:rsidRPr="0034153E">
        <w:t>Distribution companies, distribution system users and general lighting sub-subscriber group consumers; for non-eligible consumers and low-consumption consumers defined in the Communiqué on the Regulation of the Last Source Supply Tariff published in the Official Gazette dated 20.01.2018 and numbered 30307, for each tariff period of 2018 and the first tariff period of 2019 The Board Decisions regarding the approval of the applicable tariff tables are shown in Table 4.4.</w:t>
      </w:r>
    </w:p>
    <w:p w:rsidR="00FE7FEB" w:rsidRPr="00542DD6" w:rsidRDefault="00FE7FEB" w:rsidP="00542DD6">
      <w:pPr>
        <w:pStyle w:val="Balk5"/>
      </w:pPr>
      <w:bookmarkStart w:id="155" w:name="_Toc12958485"/>
      <w:r w:rsidRPr="00542DD6">
        <w:rPr>
          <w:rStyle w:val="Gl"/>
          <w:b/>
          <w:bCs w:val="0"/>
        </w:rPr>
        <w:t>Table 4.4: Board Decisions on Distribution Assigned Supplier Companies’ Tariff Tables</w:t>
      </w:r>
      <w:bookmarkEnd w:id="155"/>
    </w:p>
    <w:tbl>
      <w:tblPr>
        <w:tblW w:w="1009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496"/>
        <w:gridCol w:w="1648"/>
        <w:gridCol w:w="1985"/>
        <w:gridCol w:w="3969"/>
      </w:tblGrid>
      <w:tr w:rsidR="00FE7FEB" w:rsidTr="00D816E6">
        <w:trPr>
          <w:trHeight w:hRule="exact" w:val="624"/>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lang w:val="tr-TR"/>
              </w:rPr>
            </w:pPr>
            <w:r w:rsidRPr="00822B0A">
              <w:rPr>
                <w:b/>
                <w:bCs/>
                <w:color w:val="FFFFFF" w:themeColor="background1"/>
              </w:rPr>
              <w:t>Date of Board Decision</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No of Board Decision</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Effectiveness date</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Date and number of the Official Gazette</w:t>
            </w:r>
          </w:p>
        </w:tc>
      </w:tr>
      <w:tr w:rsidR="00FE7FEB" w:rsidTr="00D816E6">
        <w:trPr>
          <w:trHeight w:hRule="exact" w:val="34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28.12.2017</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center"/>
              <w:rPr>
                <w:color w:val="000000" w:themeColor="text1"/>
              </w:rPr>
            </w:pPr>
            <w:r>
              <w:rPr>
                <w:color w:val="000000" w:themeColor="text1"/>
              </w:rPr>
              <w:t>7617</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01.01.2018</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rFonts w:cs="Arial"/>
                <w:bCs/>
                <w:color w:val="000000" w:themeColor="text1"/>
              </w:rPr>
            </w:pPr>
            <w:r>
              <w:rPr>
                <w:rFonts w:cs="Arial"/>
                <w:bCs/>
                <w:color w:val="000000" w:themeColor="text1"/>
              </w:rPr>
              <w:t>30.12.2017-30286 (bis)</w:t>
            </w:r>
          </w:p>
        </w:tc>
      </w:tr>
      <w:tr w:rsidR="00FE7FEB" w:rsidTr="00D816E6">
        <w:trPr>
          <w:trHeight w:hRule="exact" w:val="34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29.03.2018</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center"/>
              <w:rPr>
                <w:color w:val="000000" w:themeColor="text1"/>
              </w:rPr>
            </w:pPr>
            <w:r>
              <w:rPr>
                <w:color w:val="000000" w:themeColor="text1"/>
              </w:rPr>
              <w:t>7773</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01.04.2018</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highlight w:val="yellow"/>
              </w:rPr>
            </w:pPr>
            <w:r>
              <w:rPr>
                <w:color w:val="000000" w:themeColor="text1"/>
              </w:rPr>
              <w:t>30.03.2018-30376</w:t>
            </w:r>
          </w:p>
        </w:tc>
      </w:tr>
      <w:tr w:rsidR="00FE7FEB" w:rsidTr="00D816E6">
        <w:trPr>
          <w:trHeight w:hRule="exact" w:val="34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31.07.2018</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center"/>
              <w:rPr>
                <w:color w:val="000000" w:themeColor="text1"/>
              </w:rPr>
            </w:pPr>
            <w:r>
              <w:rPr>
                <w:color w:val="000000" w:themeColor="text1"/>
              </w:rPr>
              <w:t>7988-1</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01.08.2018</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rPr>
            </w:pPr>
            <w:r>
              <w:rPr>
                <w:color w:val="000000" w:themeColor="text1"/>
              </w:rPr>
              <w:t>31.07.2018-30495</w:t>
            </w:r>
          </w:p>
        </w:tc>
      </w:tr>
      <w:tr w:rsidR="00FE7FEB" w:rsidTr="00D816E6">
        <w:trPr>
          <w:trHeight w:hRule="exact" w:val="34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31.08.2018</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center"/>
              <w:rPr>
                <w:color w:val="000000" w:themeColor="text1"/>
              </w:rPr>
            </w:pPr>
            <w:r>
              <w:rPr>
                <w:color w:val="000000" w:themeColor="text1"/>
              </w:rPr>
              <w:t>8039</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01.09.2018</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rPr>
            </w:pPr>
            <w:r>
              <w:rPr>
                <w:color w:val="000000" w:themeColor="text1"/>
              </w:rPr>
              <w:t>31.08.2018-30521</w:t>
            </w:r>
          </w:p>
        </w:tc>
      </w:tr>
      <w:tr w:rsidR="00FE7FEB" w:rsidTr="00D816E6">
        <w:trPr>
          <w:trHeight w:hRule="exact" w:val="34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30.09.2018</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center"/>
              <w:rPr>
                <w:color w:val="000000" w:themeColor="text1"/>
              </w:rPr>
            </w:pPr>
            <w:r>
              <w:rPr>
                <w:color w:val="000000" w:themeColor="text1"/>
              </w:rPr>
              <w:t>8101</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01.10.2018</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rFonts w:cs="Arial"/>
                <w:bCs/>
                <w:color w:val="000000" w:themeColor="text1"/>
              </w:rPr>
            </w:pPr>
            <w:r>
              <w:rPr>
                <w:rFonts w:cs="Arial"/>
                <w:bCs/>
                <w:color w:val="000000" w:themeColor="text1"/>
              </w:rPr>
              <w:t>01.10.2018-30552</w:t>
            </w:r>
          </w:p>
        </w:tc>
      </w:tr>
      <w:tr w:rsidR="00FE7FEB" w:rsidTr="00D816E6">
        <w:trPr>
          <w:trHeight w:hRule="exact" w:val="34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27.12.2018</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center"/>
              <w:rPr>
                <w:color w:val="000000" w:themeColor="text1"/>
              </w:rPr>
            </w:pPr>
            <w:r>
              <w:rPr>
                <w:color w:val="000000" w:themeColor="text1"/>
              </w:rPr>
              <w:t>8358</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center"/>
              <w:rPr>
                <w:color w:val="000000" w:themeColor="text1"/>
              </w:rPr>
            </w:pPr>
            <w:r>
              <w:rPr>
                <w:color w:val="000000" w:themeColor="text1"/>
              </w:rPr>
              <w:t>01.01.2019</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rFonts w:cs="Arial"/>
                <w:bCs/>
                <w:color w:val="000000" w:themeColor="text1"/>
              </w:rPr>
            </w:pPr>
            <w:r>
              <w:rPr>
                <w:rFonts w:cs="Arial"/>
                <w:bCs/>
                <w:color w:val="000000" w:themeColor="text1"/>
              </w:rPr>
              <w:t>29.12.2018-30640</w:t>
            </w:r>
          </w:p>
        </w:tc>
      </w:tr>
    </w:tbl>
    <w:p w:rsidR="00FE7FEB" w:rsidRDefault="00FE7FEB" w:rsidP="00FE7FEB"/>
    <w:p w:rsidR="00FE7FEB" w:rsidRPr="00CA3328" w:rsidRDefault="00FE7FEB" w:rsidP="00FE7FEB">
      <w:r w:rsidRPr="0034153E">
        <w:t>System operating income requirements and related parameters of distribution companies in the third implementation period of 2016-2020 have been revised by the Board Decisions stated in the table below.</w:t>
      </w:r>
    </w:p>
    <w:p w:rsidR="00FE7FEB" w:rsidRPr="00542DD6" w:rsidRDefault="00FE7FEB" w:rsidP="00542DD6">
      <w:pPr>
        <w:pStyle w:val="Balk5"/>
      </w:pPr>
      <w:bookmarkStart w:id="156" w:name="_Toc12958486"/>
      <w:bookmarkStart w:id="157" w:name="_Toc512874142"/>
      <w:r w:rsidRPr="00542DD6">
        <w:rPr>
          <w:rStyle w:val="Gl"/>
          <w:b/>
          <w:bCs w:val="0"/>
        </w:rPr>
        <w:t>Table 4.5: Board Decisions on System Operation revenue Requirements of Distribution Companies for 2016-2020 Third Implementation Period and Revision of Related Parameters</w:t>
      </w:r>
      <w:bookmarkEnd w:id="156"/>
      <w:r w:rsidRPr="00542DD6">
        <w:rPr>
          <w:rStyle w:val="Gl"/>
          <w:b/>
          <w:bCs w:val="0"/>
        </w:rPr>
        <w:t xml:space="preserve"> </w:t>
      </w:r>
      <w:bookmarkEnd w:id="15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253"/>
        <w:gridCol w:w="2232"/>
        <w:gridCol w:w="2061"/>
      </w:tblGrid>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bottom"/>
            <w:hideMark/>
          </w:tcPr>
          <w:p w:rsidR="00FE7FEB" w:rsidRDefault="00FE7FEB" w:rsidP="00D816E6">
            <w:pPr>
              <w:spacing w:after="0" w:line="240" w:lineRule="auto"/>
              <w:jc w:val="center"/>
              <w:rPr>
                <w:rFonts w:eastAsia="Times New Roman"/>
                <w:b/>
                <w:color w:val="FFFFFF" w:themeColor="background1"/>
                <w:lang w:val="tr-TR" w:eastAsia="tr-TR"/>
              </w:rPr>
            </w:pPr>
            <w:r w:rsidRPr="000E3C7E">
              <w:rPr>
                <w:rFonts w:eastAsia="Times New Roman"/>
                <w:b/>
                <w:color w:val="FFFFFF" w:themeColor="background1"/>
                <w:lang w:eastAsia="tr-TR"/>
              </w:rPr>
              <w:t>Distribution Company</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bottom"/>
            <w:hideMark/>
          </w:tcPr>
          <w:p w:rsidR="00FE7FEB" w:rsidRDefault="00FE7FEB" w:rsidP="00D816E6">
            <w:pPr>
              <w:spacing w:after="0" w:line="240" w:lineRule="auto"/>
              <w:jc w:val="center"/>
              <w:rPr>
                <w:rFonts w:eastAsia="Times New Roman"/>
                <w:b/>
                <w:color w:val="FFFFFF" w:themeColor="background1"/>
                <w:lang w:eastAsia="tr-TR"/>
              </w:rPr>
            </w:pPr>
            <w:r w:rsidRPr="000E3C7E">
              <w:rPr>
                <w:rFonts w:eastAsia="Times New Roman"/>
                <w:b/>
                <w:color w:val="FFFFFF" w:themeColor="background1"/>
                <w:lang w:eastAsia="tr-TR"/>
              </w:rPr>
              <w:t>Date of Board Decision</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bottom"/>
            <w:hideMark/>
          </w:tcPr>
          <w:p w:rsidR="00FE7FEB" w:rsidRDefault="00FE7FEB" w:rsidP="00D816E6">
            <w:pPr>
              <w:spacing w:after="0" w:line="240" w:lineRule="auto"/>
              <w:jc w:val="center"/>
              <w:rPr>
                <w:rFonts w:eastAsia="Times New Roman"/>
                <w:b/>
                <w:color w:val="FFFFFF" w:themeColor="background1"/>
                <w:lang w:eastAsia="tr-TR"/>
              </w:rPr>
            </w:pPr>
            <w:r w:rsidRPr="000E3C7E">
              <w:rPr>
                <w:rFonts w:eastAsia="Times New Roman"/>
                <w:b/>
                <w:color w:val="FFFFFF" w:themeColor="background1"/>
                <w:lang w:eastAsia="tr-TR"/>
              </w:rPr>
              <w:t>No of Board Decision</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ADM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8315-1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Akdeniz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8317-1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Akedaş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8316-1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Aras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8318-1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Başkent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8319-1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Boğaziçi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8320-1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Çamlıbel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8321-1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Çoruh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8322-1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Dicle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8323-1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Fırat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8324-1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GDZ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8325-1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İstanbul Anatolian Side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8326-1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sidRPr="000E3C7E">
              <w:rPr>
                <w:rFonts w:cs="Calibri"/>
              </w:rPr>
              <w:t>Kayseri and Vicinity Electricity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8327-1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Meram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8328-1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Osmangazi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8329-1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Sakarya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8330-1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Toroslar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8331-1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Trakya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8332-1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Uludağ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8333-1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Vangölü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8334-1</w:t>
            </w:r>
          </w:p>
        </w:tc>
      </w:tr>
      <w:tr w:rsidR="00FE7FEB" w:rsidTr="00D816E6">
        <w:trPr>
          <w:trHeight w:val="300"/>
        </w:trPr>
        <w:tc>
          <w:tcPr>
            <w:tcW w:w="27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Yeşilırmak </w:t>
            </w:r>
            <w:r w:rsidRPr="000E3C7E">
              <w:rPr>
                <w:bCs/>
                <w:color w:val="000000" w:themeColor="text1"/>
              </w:rPr>
              <w:t>Electricity Distribution CO.INC.</w:t>
            </w:r>
          </w:p>
        </w:tc>
        <w:tc>
          <w:tcPr>
            <w:tcW w:w="11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rFonts w:eastAsia="Times New Roman"/>
                <w:lang w:eastAsia="tr-TR"/>
              </w:rPr>
            </w:pPr>
            <w:r>
              <w:t>27.12.2018</w:t>
            </w:r>
          </w:p>
        </w:tc>
        <w:tc>
          <w:tcPr>
            <w:tcW w:w="10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8335-1</w:t>
            </w:r>
          </w:p>
        </w:tc>
      </w:tr>
    </w:tbl>
    <w:p w:rsidR="00FE7FEB" w:rsidRDefault="00FE7FEB" w:rsidP="00FE7FEB"/>
    <w:p w:rsidR="00FE7FEB" w:rsidRDefault="00FE7FEB" w:rsidP="00FE7FEB">
      <w:r w:rsidRPr="002C1909">
        <w:t>2019 system operating income ceilings of distribution companies were approved by the Board Decisions stated in the table below.</w:t>
      </w:r>
    </w:p>
    <w:p w:rsidR="00FE7FEB" w:rsidRPr="00542DD6" w:rsidRDefault="00FE7FEB" w:rsidP="00542DD6">
      <w:pPr>
        <w:pStyle w:val="Balk5"/>
      </w:pPr>
      <w:bookmarkStart w:id="158" w:name="_Toc12958487"/>
      <w:r w:rsidRPr="00542DD6">
        <w:rPr>
          <w:rStyle w:val="Gl"/>
          <w:b/>
          <w:bCs w:val="0"/>
        </w:rPr>
        <w:t>Table 4.6: Board Decisions on Approval of the System Operation Revenue Caps of Distribution Companies in  2019</w:t>
      </w:r>
      <w:bookmarkEnd w:id="15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A0" w:firstRow="1" w:lastRow="0" w:firstColumn="1" w:lastColumn="0" w:noHBand="0" w:noVBand="0"/>
      </w:tblPr>
      <w:tblGrid>
        <w:gridCol w:w="5764"/>
        <w:gridCol w:w="2146"/>
        <w:gridCol w:w="1636"/>
      </w:tblGrid>
      <w:tr w:rsidR="00FE7FEB" w:rsidTr="00D816E6">
        <w:trPr>
          <w:trHeight w:val="548"/>
          <w:tblHeader/>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b/>
                <w:bCs/>
                <w:color w:val="FFFFFF" w:themeColor="background1"/>
                <w:lang w:val="tr-TR"/>
              </w:rPr>
            </w:pPr>
            <w:r w:rsidRPr="000E3C7E">
              <w:rPr>
                <w:b/>
                <w:bCs/>
                <w:color w:val="FFFFFF" w:themeColor="background1"/>
              </w:rPr>
              <w:t>Distribution Company</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b/>
                <w:bCs/>
                <w:color w:val="FFFFFF" w:themeColor="background1"/>
              </w:rPr>
            </w:pPr>
            <w:r w:rsidRPr="000E3C7E">
              <w:rPr>
                <w:b/>
                <w:bCs/>
                <w:color w:val="FFFFFF" w:themeColor="background1"/>
              </w:rPr>
              <w:t>Date of Board Decision</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b/>
                <w:bCs/>
                <w:color w:val="FFFFFF" w:themeColor="background1"/>
              </w:rPr>
            </w:pPr>
            <w:r w:rsidRPr="000E3C7E">
              <w:rPr>
                <w:b/>
                <w:bCs/>
                <w:color w:val="FFFFFF" w:themeColor="background1"/>
              </w:rPr>
              <w:t>No of Board Decision</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bCs/>
                <w:color w:val="000000" w:themeColor="text1"/>
              </w:rPr>
            </w:pPr>
            <w:r>
              <w:rPr>
                <w:bCs/>
                <w:color w:val="000000" w:themeColor="text1"/>
              </w:rPr>
              <w:t xml:space="preserve">ADM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bCs/>
                <w:color w:val="000000" w:themeColor="text1"/>
              </w:rPr>
            </w:pPr>
            <w:r>
              <w:rPr>
                <w:rFonts w:eastAsia="Times New Roman"/>
                <w:lang w:eastAsia="tr-TR"/>
              </w:rPr>
              <w:t>8315-2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bCs/>
                <w:color w:val="000000" w:themeColor="text1"/>
              </w:rPr>
            </w:pPr>
            <w:r>
              <w:rPr>
                <w:bCs/>
                <w:color w:val="000000" w:themeColor="text1"/>
              </w:rPr>
              <w:t xml:space="preserve">Akdeniz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bCs/>
                <w:color w:val="000000" w:themeColor="text1"/>
              </w:rPr>
            </w:pPr>
            <w:r>
              <w:rPr>
                <w:rFonts w:eastAsia="Times New Roman"/>
                <w:lang w:eastAsia="tr-TR"/>
              </w:rPr>
              <w:t>8317-2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bCs/>
                <w:color w:val="000000" w:themeColor="text1"/>
              </w:rPr>
            </w:pPr>
            <w:r>
              <w:rPr>
                <w:bCs/>
                <w:color w:val="000000" w:themeColor="text1"/>
              </w:rPr>
              <w:t xml:space="preserve">Akedaş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bCs/>
                <w:color w:val="000000" w:themeColor="text1"/>
              </w:rPr>
            </w:pPr>
            <w:r>
              <w:rPr>
                <w:rFonts w:eastAsia="Times New Roman"/>
                <w:lang w:eastAsia="tr-TR"/>
              </w:rPr>
              <w:t>8316-2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bCs/>
                <w:color w:val="000000" w:themeColor="text1"/>
              </w:rPr>
            </w:pPr>
            <w:r>
              <w:rPr>
                <w:bCs/>
                <w:color w:val="000000" w:themeColor="text1"/>
              </w:rPr>
              <w:t xml:space="preserve">Aras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bCs/>
                <w:color w:val="000000" w:themeColor="text1"/>
              </w:rPr>
            </w:pPr>
            <w:r>
              <w:rPr>
                <w:rFonts w:eastAsia="Times New Roman"/>
                <w:lang w:eastAsia="tr-TR"/>
              </w:rPr>
              <w:t>8318-2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color w:val="000000" w:themeColor="text1"/>
              </w:rPr>
            </w:pPr>
            <w:r>
              <w:rPr>
                <w:color w:val="000000" w:themeColor="text1"/>
              </w:rPr>
              <w:t xml:space="preserve">Başkent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highlight w:val="yellow"/>
              </w:rPr>
            </w:pPr>
            <w:r>
              <w:rPr>
                <w:rFonts w:eastAsia="Times New Roman"/>
                <w:lang w:eastAsia="tr-TR"/>
              </w:rPr>
              <w:t>8319-2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color w:val="000000" w:themeColor="text1"/>
              </w:rPr>
            </w:pPr>
            <w:r>
              <w:rPr>
                <w:color w:val="000000" w:themeColor="text1"/>
              </w:rPr>
              <w:t xml:space="preserve">Boğaziçi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8320-2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color w:val="000000" w:themeColor="text1"/>
              </w:rPr>
            </w:pPr>
            <w:r>
              <w:rPr>
                <w:color w:val="000000" w:themeColor="text1"/>
              </w:rPr>
              <w:t xml:space="preserve">Çamlıbel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8321-2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bCs/>
                <w:color w:val="000000" w:themeColor="text1"/>
              </w:rPr>
            </w:pPr>
            <w:r>
              <w:rPr>
                <w:bCs/>
                <w:color w:val="000000" w:themeColor="text1"/>
              </w:rPr>
              <w:t xml:space="preserve">Çoruh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8322-2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bCs/>
                <w:color w:val="000000" w:themeColor="text1"/>
              </w:rPr>
            </w:pPr>
            <w:r>
              <w:rPr>
                <w:bCs/>
                <w:color w:val="000000" w:themeColor="text1"/>
              </w:rPr>
              <w:t xml:space="preserve">Dicle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8323-2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bCs/>
                <w:color w:val="000000" w:themeColor="text1"/>
              </w:rPr>
            </w:pPr>
            <w:r>
              <w:rPr>
                <w:bCs/>
                <w:color w:val="000000" w:themeColor="text1"/>
              </w:rPr>
              <w:t xml:space="preserve">Fırat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8324-2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rPr>
                <w:bCs/>
                <w:color w:val="000000" w:themeColor="text1"/>
              </w:rPr>
            </w:pPr>
            <w:r>
              <w:rPr>
                <w:bCs/>
                <w:color w:val="000000" w:themeColor="text1"/>
              </w:rPr>
              <w:t xml:space="preserve">GDZ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8325-2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İstanbul Anatolian Side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8326-2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rsidRPr="000E3C7E">
              <w:rPr>
                <w:rFonts w:cs="Calibri"/>
              </w:rPr>
              <w:t>Kayseri and Vicinity Electricity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8327-2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Meram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8328-2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Osmangazi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8329-2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Sakarya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8330-2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Toroslar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8331-2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Trakya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8332-2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Uludağ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8333-2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Vangölü </w:t>
            </w:r>
            <w:r w:rsidRPr="000E3C7E">
              <w:rPr>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8334-2</w:t>
            </w:r>
          </w:p>
        </w:tc>
      </w:tr>
      <w:tr w:rsidR="00FE7FE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both"/>
            </w:pPr>
            <w:r>
              <w:t xml:space="preserve">Yeşilırmak </w:t>
            </w:r>
            <w:r w:rsidRPr="000E3C7E">
              <w:rPr>
                <w:rFonts w:eastAsia="Times New Roman"/>
                <w:color w:val="000000"/>
                <w:lang w:eastAsia="tr-TR"/>
              </w:rPr>
              <w:t>Electricity Retail Sale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FE7FEB" w:rsidRDefault="00FE7FEB" w:rsidP="00D816E6">
            <w:pPr>
              <w:spacing w:after="0" w:line="240" w:lineRule="auto"/>
              <w:jc w:val="center"/>
              <w:rPr>
                <w:bCs/>
                <w:color w:val="000000" w:themeColor="text1"/>
              </w:rPr>
            </w:pPr>
            <w:r>
              <w:t>27.12.2018</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Default="00FE7FEB" w:rsidP="00D816E6">
            <w:pPr>
              <w:spacing w:after="0" w:line="240" w:lineRule="auto"/>
              <w:jc w:val="center"/>
              <w:rPr>
                <w:color w:val="000000" w:themeColor="text1"/>
              </w:rPr>
            </w:pPr>
            <w:r>
              <w:rPr>
                <w:rFonts w:eastAsia="Times New Roman"/>
                <w:lang w:eastAsia="tr-TR"/>
              </w:rPr>
              <w:t>8335-2</w:t>
            </w:r>
          </w:p>
        </w:tc>
      </w:tr>
    </w:tbl>
    <w:p w:rsidR="00FE7FEB" w:rsidRDefault="00FE7FEB" w:rsidP="00FE7FEB">
      <w:r w:rsidRPr="00381BAE">
        <w:t>The Retail Sales Income Ceilings of the procurement companies in 2019 were approved by the Board Decisions stated in the table below.</w:t>
      </w:r>
    </w:p>
    <w:p w:rsidR="00FE7FEB" w:rsidRDefault="00FE7FEB" w:rsidP="00FE7FEB">
      <w:pPr>
        <w:ind w:left="2124" w:firstLine="708"/>
        <w:rPr>
          <w:rStyle w:val="Gl"/>
        </w:rPr>
      </w:pPr>
    </w:p>
    <w:p w:rsidR="00FE7FEB" w:rsidRPr="00542DD6" w:rsidRDefault="00FE7FEB" w:rsidP="00542DD6">
      <w:pPr>
        <w:pStyle w:val="Balk5"/>
      </w:pPr>
      <w:bookmarkStart w:id="159" w:name="_Toc12958488"/>
      <w:r w:rsidRPr="00542DD6">
        <w:rPr>
          <w:rStyle w:val="Gl"/>
          <w:b/>
          <w:bCs w:val="0"/>
        </w:rPr>
        <w:t>Table 4.7: Board Decisions on Approval of Retail Sale revenue Caps of Assigned Supplier Companies in 2019</w:t>
      </w:r>
      <w:bookmarkEnd w:id="159"/>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253"/>
        <w:gridCol w:w="2232"/>
        <w:gridCol w:w="2061"/>
      </w:tblGrid>
      <w:tr w:rsidR="00FE7FEB" w:rsidTr="00D816E6">
        <w:trPr>
          <w:trHeight w:val="340"/>
          <w:tblHeader/>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bottom"/>
            <w:hideMark/>
          </w:tcPr>
          <w:p w:rsidR="00FE7FEB" w:rsidRDefault="00FE7FEB" w:rsidP="00D816E6">
            <w:pPr>
              <w:spacing w:after="0" w:line="240" w:lineRule="auto"/>
              <w:jc w:val="center"/>
              <w:rPr>
                <w:rFonts w:eastAsia="Times New Roman"/>
                <w:b/>
                <w:color w:val="FFFFFF" w:themeColor="background1"/>
                <w:lang w:val="tr-TR" w:eastAsia="tr-TR"/>
              </w:rPr>
            </w:pPr>
            <w:r w:rsidRPr="000E3C7E">
              <w:rPr>
                <w:rFonts w:eastAsia="Times New Roman"/>
                <w:b/>
                <w:color w:val="FFFFFF" w:themeColor="background1"/>
                <w:lang w:eastAsia="tr-TR"/>
              </w:rPr>
              <w:t>Assigned Supplier Company</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bottom"/>
            <w:hideMark/>
          </w:tcPr>
          <w:p w:rsidR="00FE7FEB" w:rsidRDefault="00FE7FEB" w:rsidP="00D816E6">
            <w:pPr>
              <w:spacing w:after="0" w:line="240" w:lineRule="auto"/>
              <w:jc w:val="center"/>
              <w:rPr>
                <w:rFonts w:eastAsia="Times New Roman"/>
                <w:b/>
                <w:color w:val="FFFFFF" w:themeColor="background1"/>
                <w:lang w:eastAsia="tr-TR"/>
              </w:rPr>
            </w:pPr>
            <w:r w:rsidRPr="000E3C7E">
              <w:rPr>
                <w:rFonts w:eastAsia="Times New Roman"/>
                <w:b/>
                <w:color w:val="FFFFFF" w:themeColor="background1"/>
                <w:lang w:eastAsia="tr-TR"/>
              </w:rPr>
              <w:t>Date of Board Decision</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bottom"/>
            <w:hideMark/>
          </w:tcPr>
          <w:p w:rsidR="00FE7FEB" w:rsidRDefault="00FE7FEB" w:rsidP="00D816E6">
            <w:pPr>
              <w:spacing w:after="0" w:line="240" w:lineRule="auto"/>
              <w:jc w:val="center"/>
              <w:rPr>
                <w:rFonts w:eastAsia="Times New Roman"/>
                <w:b/>
                <w:color w:val="FFFFFF" w:themeColor="background1"/>
                <w:lang w:eastAsia="tr-TR"/>
              </w:rPr>
            </w:pPr>
            <w:r w:rsidRPr="000E3C7E">
              <w:rPr>
                <w:rFonts w:eastAsia="Times New Roman"/>
                <w:b/>
                <w:color w:val="FFFFFF" w:themeColor="background1"/>
                <w:lang w:eastAsia="tr-TR"/>
              </w:rPr>
              <w:t>No of Board Deciison</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sidRPr="000E3C7E">
              <w:rPr>
                <w:rFonts w:eastAsia="Times New Roman"/>
                <w:color w:val="000000"/>
                <w:lang w:eastAsia="tr-TR"/>
              </w:rPr>
              <w:t>Akedaş 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8336</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sidRPr="000E3C7E">
              <w:rPr>
                <w:rFonts w:eastAsia="Times New Roman"/>
                <w:color w:val="000000"/>
                <w:lang w:eastAsia="tr-TR"/>
              </w:rPr>
              <w:t>Aras 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8337</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sidRPr="000E3C7E">
              <w:rPr>
                <w:rFonts w:eastAsia="Times New Roman"/>
                <w:color w:val="000000"/>
                <w:lang w:eastAsia="tr-TR"/>
              </w:rPr>
              <w:t>Aydem 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8338</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CK Akdeniz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8339</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CK Boğaziçi </w:t>
            </w:r>
            <w:r w:rsidRPr="000E3C7E">
              <w:rPr>
                <w:rFonts w:eastAsia="Times New Roman"/>
                <w:color w:val="000000"/>
                <w:lang w:eastAsia="tr-TR"/>
              </w:rPr>
              <w:t>Electricity Retail Sale CO.INC</w:t>
            </w:r>
            <w:r>
              <w:rPr>
                <w:rFonts w:eastAsia="Times New Roman"/>
                <w:lang w:eastAsia="tr-TR"/>
              </w:rPr>
              <w:t>.</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8340</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CK Çamlıbel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8341</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Çoruh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8342</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Dicle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8343</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Enerjisa Başkent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8344</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Enerjisa İstanbul Anadolu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8345</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Enerjisa Toroslar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8346</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Fırat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8347</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Gediz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8348</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Kayseri </w:t>
            </w:r>
            <w:r w:rsidRPr="000E3C7E">
              <w:rPr>
                <w:rFonts w:eastAsia="Times New Roman"/>
                <w:color w:val="000000"/>
                <w:lang w:eastAsia="tr-TR"/>
              </w:rPr>
              <w:t>Electricity Retail Sale CO.INC.</w:t>
            </w:r>
            <w:r>
              <w:rPr>
                <w:rFonts w:eastAsia="Times New Roman"/>
                <w:lang w:eastAsia="tr-TR"/>
              </w:rPr>
              <w:t>.</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8349</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Limak Uludağ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8350</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Meram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8351</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Pr="00D85DE8" w:rsidRDefault="00FE7FEB" w:rsidP="00D816E6">
            <w:pPr>
              <w:spacing w:after="0" w:line="240" w:lineRule="auto"/>
              <w:jc w:val="both"/>
              <w:rPr>
                <w:rFonts w:eastAsia="Times New Roman"/>
                <w:lang w:eastAsia="tr-TR"/>
              </w:rPr>
            </w:pPr>
            <w:r w:rsidRPr="00D85DE8">
              <w:rPr>
                <w:rFonts w:eastAsia="Times New Roman"/>
                <w:lang w:eastAsia="tr-TR"/>
              </w:rPr>
              <w:t xml:space="preserve">Osmangazi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8352</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Sakarya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8353</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Trakya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8354</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Türkerler Vangölü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8355</w:t>
            </w:r>
          </w:p>
        </w:tc>
      </w:tr>
      <w:tr w:rsidR="00FE7FEB" w:rsidTr="00D816E6">
        <w:trPr>
          <w:trHeight w:val="340"/>
        </w:trPr>
        <w:tc>
          <w:tcPr>
            <w:tcW w:w="319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both"/>
              <w:rPr>
                <w:rFonts w:eastAsia="Times New Roman"/>
                <w:lang w:eastAsia="tr-TR"/>
              </w:rPr>
            </w:pPr>
            <w:r>
              <w:rPr>
                <w:rFonts w:eastAsia="Times New Roman"/>
                <w:lang w:eastAsia="tr-TR"/>
              </w:rPr>
              <w:t xml:space="preserve">Yeşilırmak </w:t>
            </w:r>
            <w:r w:rsidRPr="000E3C7E">
              <w:rPr>
                <w:rFonts w:eastAsia="Times New Roman"/>
                <w:color w:val="000000"/>
                <w:lang w:eastAsia="tr-TR"/>
              </w:rPr>
              <w:t>Electricity Retail Sale CO.INC.</w:t>
            </w:r>
          </w:p>
        </w:tc>
        <w:tc>
          <w:tcPr>
            <w:tcW w:w="9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FE7FEB" w:rsidRDefault="00FE7FEB" w:rsidP="00D816E6">
            <w:pPr>
              <w:spacing w:after="0" w:line="240" w:lineRule="auto"/>
              <w:jc w:val="center"/>
              <w:rPr>
                <w:rFonts w:eastAsia="Times New Roman"/>
                <w:lang w:eastAsia="tr-TR"/>
              </w:rPr>
            </w:pPr>
            <w:r>
              <w:t>27.12.2018</w:t>
            </w:r>
          </w:p>
        </w:tc>
        <w:tc>
          <w:tcPr>
            <w:tcW w:w="86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rFonts w:eastAsia="Times New Roman"/>
                <w:lang w:eastAsia="tr-TR"/>
              </w:rPr>
            </w:pPr>
            <w:r>
              <w:rPr>
                <w:rFonts w:eastAsia="Times New Roman"/>
                <w:lang w:eastAsia="tr-TR"/>
              </w:rPr>
              <w:t>8356</w:t>
            </w:r>
          </w:p>
        </w:tc>
      </w:tr>
    </w:tbl>
    <w:p w:rsidR="00FE7FEB" w:rsidRDefault="00FE7FEB" w:rsidP="00FE7FEB">
      <w:r w:rsidRPr="00AF682D">
        <w:t>Also; As shown in Table 4.8, the Board Decisions 5965-1 to 21 of 23/12/2015 approved the investment plans of the electricity distribution companies for the third implementation period starting on 01/01/2016 and the Board Decisions taken later 2016-2020 investment plans of electricity distribution companies have been revised.</w:t>
      </w:r>
    </w:p>
    <w:p w:rsidR="00FE7FEB" w:rsidRDefault="00FE7FEB" w:rsidP="00FE7FEB"/>
    <w:p w:rsidR="00FE7FEB" w:rsidRPr="00542DD6" w:rsidRDefault="00FE7FEB" w:rsidP="00542DD6">
      <w:pPr>
        <w:pStyle w:val="Balk5"/>
      </w:pPr>
      <w:bookmarkStart w:id="160" w:name="_Toc505346181"/>
      <w:bookmarkStart w:id="161" w:name="_Toc512874145"/>
      <w:bookmarkStart w:id="162" w:name="_Toc12958489"/>
      <w:r w:rsidRPr="00542DD6">
        <w:rPr>
          <w:rStyle w:val="Gl"/>
          <w:b/>
          <w:bCs w:val="0"/>
        </w:rPr>
        <w:t>Table 4.8:</w:t>
      </w:r>
      <w:bookmarkEnd w:id="160"/>
      <w:bookmarkEnd w:id="161"/>
      <w:r w:rsidRPr="00542DD6">
        <w:rPr>
          <w:rStyle w:val="Gl"/>
          <w:b/>
          <w:bCs w:val="0"/>
        </w:rPr>
        <w:t xml:space="preserve"> Board Decisions on Approval and Revision of Investment Plans for the years 2016-2020</w:t>
      </w:r>
      <w:bookmarkEnd w:id="162"/>
      <w:r w:rsidRPr="00542DD6">
        <w:rPr>
          <w:rStyle w:val="Gl"/>
          <w:b/>
          <w:bCs w:val="0"/>
        </w:rPr>
        <w:t xml:space="preserve"> </w:t>
      </w: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94"/>
        <w:gridCol w:w="2663"/>
        <w:gridCol w:w="2665"/>
      </w:tblGrid>
      <w:tr w:rsidR="00FE7FEB" w:rsidTr="00D816E6">
        <w:trPr>
          <w:trHeight w:val="227"/>
          <w:tblHead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sidRPr="000E3C7E">
              <w:rPr>
                <w:b/>
                <w:bCs/>
                <w:color w:val="FFFFFF" w:themeColor="background1"/>
              </w:rPr>
              <w:t>Distribution Company</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sidRPr="000E3C7E">
              <w:rPr>
                <w:b/>
                <w:bCs/>
                <w:color w:val="FFFFFF" w:themeColor="background1"/>
              </w:rPr>
              <w:t>Date of Board Decision</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sidRPr="000E3C7E">
              <w:rPr>
                <w:b/>
                <w:bCs/>
                <w:color w:val="FFFFFF" w:themeColor="background1"/>
              </w:rPr>
              <w:t>No of Board Decision</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Trakya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27.12.2018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8303</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Vangölü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27.12.2018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8309</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Toroslar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28.06.2018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7930</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Yeşilırmak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27.12.2018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8304</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Uludağ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12.04.2018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7790</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Sakarya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20.12.2018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8269</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Osmangazi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11.05.2017</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7072</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Akdeniz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08.06.2017</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7114</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AKEDAŞ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28.12.2017</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7598</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ADM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23.12.2015</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5965-10</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Aras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18.10.2018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8134</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Başkent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28.06.2018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7929</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Meram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27.09.2018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8089</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sidRPr="000E3C7E">
              <w:rPr>
                <w:rFonts w:cs="Calibri"/>
              </w:rPr>
              <w:t>Kayseri and Vicinity Electricity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20.12.2018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6268</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İstanbul Anatolian Side</w:t>
            </w:r>
          </w:p>
          <w:p w:rsidR="00FE7FEB" w:rsidRDefault="00FE7FEB" w:rsidP="00D816E6">
            <w:pPr>
              <w:autoSpaceDE w:val="0"/>
              <w:autoSpaceDN w:val="0"/>
              <w:adjustRightInd w:val="0"/>
              <w:jc w:val="both"/>
              <w:rPr>
                <w:rFonts w:cs="Calibri"/>
              </w:rPr>
            </w:pP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autoSpaceDE w:val="0"/>
              <w:autoSpaceDN w:val="0"/>
              <w:adjustRightInd w:val="0"/>
              <w:jc w:val="center"/>
              <w:rPr>
                <w:rFonts w:cs="Calibri"/>
              </w:rPr>
            </w:pPr>
            <w:r>
              <w:rPr>
                <w:rFonts w:cs="Calibri"/>
              </w:rPr>
              <w:t>23.12.2015</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autoSpaceDE w:val="0"/>
              <w:autoSpaceDN w:val="0"/>
              <w:adjustRightInd w:val="0"/>
              <w:jc w:val="center"/>
              <w:rPr>
                <w:rFonts w:cs="Calibri"/>
              </w:rPr>
            </w:pPr>
            <w:r>
              <w:rPr>
                <w:rFonts w:cs="Calibri"/>
              </w:rPr>
              <w:t>5965-15</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GDZ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23.12.2015</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5965-16</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Fırat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09.08.2018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8001</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Çoruh </w:t>
            </w:r>
            <w:r w:rsidRPr="000E3C7E">
              <w:rPr>
                <w:rFonts w:cs="Calibri"/>
              </w:rPr>
              <w:t>Electricity Distribution CO.INC</w:t>
            </w:r>
            <w:r>
              <w:rPr>
                <w:rFonts w:cs="Calibri"/>
              </w:rPr>
              <w:t xml:space="preserve">. </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16.08.2018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8016</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Dicle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20.12.2018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8273</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Çamlıbel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27.09.2018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8088</w:t>
            </w:r>
          </w:p>
        </w:tc>
      </w:tr>
      <w:tr w:rsidR="00FE7FEB" w:rsidTr="00D816E6">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both"/>
            </w:pPr>
            <w:r>
              <w:rPr>
                <w:rFonts w:cs="Calibri"/>
              </w:rPr>
              <w:t xml:space="preserve">Boğaziçi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rPr>
                <w:rFonts w:cs="Calibri"/>
              </w:rPr>
            </w:pPr>
            <w:r>
              <w:rPr>
                <w:rFonts w:cs="Calibri"/>
              </w:rPr>
              <w:t>29.03.2018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rPr>
                <w:rFonts w:cs="Calibri"/>
              </w:rPr>
            </w:pPr>
            <w:r>
              <w:rPr>
                <w:rFonts w:cs="Calibri"/>
              </w:rPr>
              <w:t>7765</w:t>
            </w:r>
          </w:p>
        </w:tc>
      </w:tr>
    </w:tbl>
    <w:p w:rsidR="00FE7FEB" w:rsidRDefault="00FE7FEB" w:rsidP="00FE7FEB"/>
    <w:p w:rsidR="00FE7FEB" w:rsidRPr="00684DC2" w:rsidRDefault="00FE7FEB" w:rsidP="00FE7FEB">
      <w:r w:rsidRPr="00684DC2">
        <w:t>The distribution realizations of distribution companies specified in Table 4.9 for the 2015 regulation period 2015 are approved.</w:t>
      </w:r>
    </w:p>
    <w:p w:rsidR="00FE7FEB" w:rsidRPr="00542DD6" w:rsidRDefault="00FE7FEB" w:rsidP="00542DD6">
      <w:pPr>
        <w:pStyle w:val="Balk5"/>
      </w:pPr>
      <w:bookmarkStart w:id="163" w:name="_Toc12958490"/>
      <w:r w:rsidRPr="00542DD6">
        <w:t>Table 4.9: Decisions of the Board for the Approval of 2015 Regulatory Investment Realizations</w:t>
      </w:r>
      <w:bookmarkEnd w:id="163"/>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94"/>
        <w:gridCol w:w="2663"/>
        <w:gridCol w:w="2665"/>
      </w:tblGrid>
      <w:tr w:rsidR="00FE7FEB" w:rsidTr="00D816E6">
        <w:trPr>
          <w:trHeight w:val="227"/>
          <w:tblHeade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sidRPr="000E3C7E">
              <w:rPr>
                <w:b/>
                <w:bCs/>
                <w:color w:val="FFFFFF" w:themeColor="background1"/>
              </w:rPr>
              <w:t>Distribution Company</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sidRPr="000E3C7E">
              <w:rPr>
                <w:b/>
                <w:bCs/>
                <w:color w:val="FFFFFF" w:themeColor="background1"/>
              </w:rPr>
              <w:t>Date of Board Decision</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sidRPr="000E3C7E">
              <w:rPr>
                <w:b/>
                <w:bCs/>
                <w:color w:val="FFFFFF" w:themeColor="background1"/>
              </w:rPr>
              <w:t>No of Board Decision</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Osmangazi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24.10.2016</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6556-1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Akdeniz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jc w:val="center"/>
            </w:pPr>
            <w:r>
              <w:t>16.03.2017</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6972</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Fırat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23.03.2017</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6991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ADM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12.06.2018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7902-1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Akedaş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7861-1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Aras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7858-1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İstanbul Anatolian Side</w:t>
            </w:r>
          </w:p>
          <w:p w:rsidR="00FE7FEB" w:rsidRDefault="00FE7FEB" w:rsidP="00D816E6">
            <w:pPr>
              <w:autoSpaceDE w:val="0"/>
              <w:autoSpaceDN w:val="0"/>
              <w:adjustRightInd w:val="0"/>
              <w:jc w:val="both"/>
              <w:rPr>
                <w:rFonts w:cs="Calibri"/>
              </w:rPr>
            </w:pP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31.05.2018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7875-1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Başkent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31.05.2018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7877-1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Boğaziçi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12.06.2018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7900-1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Çamlıbel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7859-1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Çoruh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10.05.2018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7835</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Dicle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10.05.2018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7834-1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GDZ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08.11.2018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8174</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sidRPr="000E3C7E">
              <w:rPr>
                <w:rFonts w:cs="Calibri"/>
              </w:rPr>
              <w:t>Kayseri and Vicinity Electricity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18.10.2018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8133</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Meram </w:t>
            </w:r>
            <w:r w:rsidRPr="000E3C7E">
              <w:rPr>
                <w:rFonts w:cs="Calibri"/>
              </w:rPr>
              <w:t>Electricity Distribution CO.INC</w:t>
            </w:r>
            <w:r>
              <w:rPr>
                <w:rFonts w:cs="Calibri"/>
              </w:rPr>
              <w:t xml:space="preserve">. </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7860-1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Sakarya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7862</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Toroslar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31.05.2018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7876-1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Trakya </w:t>
            </w:r>
            <w:r w:rsidRPr="000E3C7E">
              <w:rPr>
                <w:rFonts w:cs="Calibri"/>
              </w:rPr>
              <w:t xml:space="preserve">Electricity Distribution CO.INC. </w:t>
            </w:r>
            <w:r>
              <w:rPr>
                <w:rFonts w:cs="Calibri"/>
              </w:rPr>
              <w:t xml:space="preserve"> </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22.11.2018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8199-1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Uludağ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31.05.2018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7878-1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Vangölü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13.12.2018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8251-1</w:t>
            </w:r>
          </w:p>
        </w:tc>
      </w:tr>
      <w:tr w:rsidR="00FE7FEB" w:rsidTr="00D816E6">
        <w:trPr>
          <w:trHeight w:val="227"/>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Yeşilırmak </w:t>
            </w:r>
            <w:r w:rsidRPr="000E3C7E">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01.11.2018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8157-1</w:t>
            </w:r>
          </w:p>
        </w:tc>
      </w:tr>
    </w:tbl>
    <w:p w:rsidR="00FE7FEB" w:rsidRDefault="00FE7FEB" w:rsidP="00FE7FEB">
      <w:r w:rsidRPr="00A94962">
        <w:t>The distribution realizations of the distribution companies specified in Table 4.10, which were started in the 2011-2015 implementation period and completed in 2016, were approved.</w:t>
      </w:r>
    </w:p>
    <w:p w:rsidR="00FE7FEB" w:rsidRPr="00542DD6" w:rsidRDefault="00FE7FEB" w:rsidP="00542DD6">
      <w:pPr>
        <w:pStyle w:val="Balk5"/>
      </w:pPr>
      <w:bookmarkStart w:id="164" w:name="_Toc512874147"/>
      <w:bookmarkStart w:id="165" w:name="_Toc12958491"/>
      <w:r w:rsidRPr="00542DD6">
        <w:rPr>
          <w:rStyle w:val="Gl"/>
          <w:b/>
          <w:bCs w:val="0"/>
        </w:rPr>
        <w:t xml:space="preserve">Table 4.10: </w:t>
      </w:r>
      <w:bookmarkEnd w:id="164"/>
      <w:r w:rsidRPr="00542DD6">
        <w:rPr>
          <w:rStyle w:val="Gl"/>
          <w:b/>
          <w:bCs w:val="0"/>
        </w:rPr>
        <w:t>Board Decisions on Approval of Investment Realizations Based on Regulation Starting in 2011-2015 Implementation Period and Completed in 2016</w:t>
      </w:r>
      <w:bookmarkEnd w:id="165"/>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94"/>
        <w:gridCol w:w="2663"/>
        <w:gridCol w:w="2665"/>
      </w:tblGrid>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Pr>
                <w:b/>
                <w:bCs/>
                <w:color w:val="FFFFFF" w:themeColor="background1"/>
              </w:rPr>
              <w:t>Dağıtım Şirketi Unvanı</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sidRPr="00822B0A">
              <w:rPr>
                <w:b/>
                <w:bCs/>
                <w:color w:val="FFFFFF" w:themeColor="background1"/>
              </w:rPr>
              <w:t>Date of Board Decision</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jc w:val="center"/>
              <w:rPr>
                <w:b/>
                <w:bCs/>
                <w:color w:val="FFFFFF" w:themeColor="background1"/>
              </w:rPr>
            </w:pPr>
            <w:r w:rsidRPr="00822B0A">
              <w:rPr>
                <w:b/>
                <w:bCs/>
                <w:color w:val="FFFFFF" w:themeColor="background1"/>
              </w:rPr>
              <w:t>No of Board Decision</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ADM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12.06.2018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7902-2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Akedaş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7861-2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Aras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7858-2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I</w:t>
            </w:r>
            <w:r>
              <w:t xml:space="preserve">stanbul Anatolian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31.05.2018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7875-2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Başkent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31.05.2018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7877-2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Boğaziçi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12.06.2018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7900-2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Çamlıbel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7859-2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Dicle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10.05.2018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7834-2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Meram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24.05.2018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7860-2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Toroslar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31.05.2018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7876-2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Trakya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22.11.2018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8199-2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Uludağ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31.05.2018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7878-2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Vangölü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13.12.2018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8251-2</w:t>
            </w:r>
          </w:p>
        </w:tc>
      </w:tr>
      <w:tr w:rsidR="00FE7FEB" w:rsidTr="00D816E6">
        <w:trPr>
          <w:jc w:val="cent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both"/>
              <w:rPr>
                <w:rFonts w:cs="Calibri"/>
              </w:rPr>
            </w:pPr>
            <w:r>
              <w:rPr>
                <w:rFonts w:cs="Calibri"/>
              </w:rPr>
              <w:t xml:space="preserve">Yeşilırmak </w:t>
            </w:r>
            <w:r w:rsidRPr="00822B0A">
              <w:rPr>
                <w:rFonts w:cs="Calibri"/>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01.11.2018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autoSpaceDE w:val="0"/>
              <w:autoSpaceDN w:val="0"/>
              <w:adjustRightInd w:val="0"/>
              <w:jc w:val="center"/>
              <w:rPr>
                <w:rFonts w:cs="Calibri"/>
              </w:rPr>
            </w:pPr>
            <w:r>
              <w:rPr>
                <w:rFonts w:cs="Calibri"/>
              </w:rPr>
              <w:t>8157-2</w:t>
            </w:r>
          </w:p>
        </w:tc>
      </w:tr>
    </w:tbl>
    <w:p w:rsidR="00FE7FEB" w:rsidRDefault="00FE7FEB" w:rsidP="00FE7FEB"/>
    <w:p w:rsidR="00FE7FEB" w:rsidRDefault="00FE7FEB" w:rsidP="00FE7FEB"/>
    <w:p w:rsidR="00FE7FEB" w:rsidRPr="00542DD6" w:rsidRDefault="00FE7FEB" w:rsidP="00542DD6">
      <w:pPr>
        <w:pStyle w:val="Balk5"/>
      </w:pPr>
      <w:bookmarkStart w:id="166" w:name="_Toc12958492"/>
      <w:r w:rsidRPr="00542DD6">
        <w:rPr>
          <w:rStyle w:val="Gl"/>
          <w:b/>
          <w:bCs w:val="0"/>
        </w:rPr>
        <w:t>Table 4.11: Investment Amounts by regions in 2018 (With Current prices-TL)</w:t>
      </w:r>
      <w:bookmarkEnd w:id="166"/>
    </w:p>
    <w:tbl>
      <w:tblPr>
        <w:tblW w:w="447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031"/>
        <w:gridCol w:w="4361"/>
        <w:gridCol w:w="146"/>
      </w:tblGrid>
      <w:tr w:rsidR="00FE7FEB" w:rsidTr="00D816E6">
        <w:trPr>
          <w:trHeight w:val="509"/>
          <w:tblHeader/>
          <w:jc w:val="center"/>
        </w:trPr>
        <w:tc>
          <w:tcPr>
            <w:tcW w:w="2401"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Default="00FE7FEB" w:rsidP="00D816E6">
            <w:pPr>
              <w:spacing w:after="0" w:line="240" w:lineRule="auto"/>
              <w:jc w:val="center"/>
              <w:rPr>
                <w:rFonts w:eastAsia="Times New Roman"/>
                <w:b/>
                <w:color w:val="FFFFFF" w:themeColor="background1"/>
                <w:sz w:val="18"/>
                <w:szCs w:val="18"/>
                <w:lang w:val="tr-TR" w:eastAsia="tr-TR"/>
              </w:rPr>
            </w:pPr>
            <w:r w:rsidRPr="000E3C7E">
              <w:rPr>
                <w:b/>
                <w:bCs/>
                <w:color w:val="FFFFFF" w:themeColor="background1"/>
              </w:rPr>
              <w:t>Distribution Region</w:t>
            </w:r>
          </w:p>
        </w:tc>
        <w:tc>
          <w:tcPr>
            <w:tcW w:w="2599"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Default="00FE7FEB" w:rsidP="00D816E6">
            <w:pPr>
              <w:spacing w:after="0" w:line="240" w:lineRule="auto"/>
              <w:jc w:val="center"/>
              <w:rPr>
                <w:rFonts w:eastAsia="Times New Roman"/>
                <w:b/>
                <w:color w:val="FFFFFF" w:themeColor="background1"/>
                <w:sz w:val="18"/>
                <w:szCs w:val="18"/>
                <w:lang w:eastAsia="tr-TR"/>
              </w:rPr>
            </w:pPr>
            <w:r w:rsidRPr="00E86164">
              <w:rPr>
                <w:rFonts w:eastAsia="Times New Roman"/>
                <w:b/>
                <w:color w:val="FFFFFF" w:themeColor="background1"/>
                <w:lang w:eastAsia="tr-TR"/>
              </w:rPr>
              <w:t xml:space="preserve">2018 </w:t>
            </w:r>
            <w:r w:rsidRPr="000E3C7E">
              <w:rPr>
                <w:rFonts w:eastAsia="Times New Roman"/>
                <w:b/>
                <w:color w:val="FFFFFF" w:themeColor="background1"/>
                <w:lang w:eastAsia="tr-TR"/>
              </w:rPr>
              <w:t>Investment Amount</w:t>
            </w:r>
          </w:p>
        </w:tc>
        <w:tc>
          <w:tcPr>
            <w:tcW w:w="6" w:type="dxa"/>
            <w:tcBorders>
              <w:top w:val="nil"/>
              <w:left w:val="nil"/>
              <w:bottom w:val="nil"/>
              <w:right w:val="nil"/>
            </w:tcBorders>
            <w:vAlign w:val="center"/>
            <w:hideMark/>
          </w:tcPr>
          <w:p w:rsidR="00FE7FEB" w:rsidRDefault="00FE7FEB" w:rsidP="00D816E6">
            <w:pPr>
              <w:rPr>
                <w:rFonts w:eastAsia="Times New Roman"/>
                <w:b/>
                <w:color w:val="FFFFFF" w:themeColor="background1"/>
                <w:sz w:val="18"/>
                <w:szCs w:val="18"/>
                <w:lang w:eastAsia="tr-TR"/>
              </w:rPr>
            </w:pPr>
          </w:p>
        </w:tc>
      </w:tr>
      <w:tr w:rsidR="00FE7FEB" w:rsidTr="00D816E6">
        <w:trPr>
          <w:trHeight w:val="509"/>
          <w:tblHeader/>
          <w:jc w:val="center"/>
        </w:trPr>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rPr>
                <w:rFonts w:eastAsia="Times New Roman"/>
                <w:b/>
                <w:color w:val="FFFFFF" w:themeColor="background1"/>
                <w:sz w:val="18"/>
                <w:szCs w:val="18"/>
                <w:lang w:eastAsia="tr-TR"/>
              </w:rPr>
            </w:pPr>
          </w:p>
        </w:tc>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rPr>
                <w:rFonts w:eastAsia="Times New Roman"/>
                <w:b/>
                <w:color w:val="FFFFFF" w:themeColor="background1"/>
                <w:sz w:val="18"/>
                <w:szCs w:val="18"/>
                <w:lang w:eastAsia="tr-TR"/>
              </w:rPr>
            </w:pPr>
          </w:p>
        </w:tc>
        <w:tc>
          <w:tcPr>
            <w:tcW w:w="6" w:type="dxa"/>
            <w:tcBorders>
              <w:top w:val="nil"/>
              <w:left w:val="nil"/>
              <w:bottom w:val="nil"/>
              <w:right w:val="nil"/>
            </w:tcBorders>
            <w:vAlign w:val="center"/>
            <w:hideMark/>
          </w:tcPr>
          <w:p w:rsidR="00FE7FEB" w:rsidRDefault="00FE7FEB" w:rsidP="00D816E6">
            <w:pPr>
              <w:spacing w:after="0"/>
              <w:rPr>
                <w:sz w:val="20"/>
                <w:szCs w:val="20"/>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TOROSLAR</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776.908.260,03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BAŞKENT</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569.235.194,03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OSMANGAZİ</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461.177.650,94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DİCLE</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415.906.234,10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BOĞAZİÇİ</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411.469.846,50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GDZ</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239.934.113,38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YEŞİLIRMAK</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305.254.100,21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MERAM</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333.235.128,51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ADM</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181.228.102,74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İSTANBUL A.Y.EDAŞ</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243.721.136,09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ULUDAĞ</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284.424.179,90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AKDENİZ</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200.170.033,49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ARAS</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268.876.962,53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ÇORUH</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143.459.861,01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KAYSERİ</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156.369.945,29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FIRAT</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137.842.461,64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VANGÖLÜ</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140.337.499,67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TRAKYA</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89.593.515,66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AKEDAŞ</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79.691.813,23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SAKARYA</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151.924.686,70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sz w:val="18"/>
                <w:szCs w:val="18"/>
                <w:lang w:eastAsia="tr-TR"/>
              </w:rPr>
            </w:pPr>
            <w:r>
              <w:rPr>
                <w:rFonts w:eastAsia="Times New Roman"/>
                <w:sz w:val="18"/>
                <w:szCs w:val="18"/>
                <w:lang w:eastAsia="tr-TR"/>
              </w:rPr>
              <w:t>ÇAMLIBEL</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sz w:val="18"/>
                <w:szCs w:val="18"/>
                <w:lang w:eastAsia="tr-TR"/>
              </w:rPr>
            </w:pPr>
            <w:r>
              <w:rPr>
                <w:rFonts w:eastAsia="Times New Roman"/>
                <w:sz w:val="18"/>
                <w:szCs w:val="18"/>
                <w:lang w:eastAsia="tr-TR"/>
              </w:rPr>
              <w:t xml:space="preserve">116.217.598,14   </w:t>
            </w:r>
          </w:p>
        </w:tc>
        <w:tc>
          <w:tcPr>
            <w:tcW w:w="6" w:type="dxa"/>
            <w:tcBorders>
              <w:top w:val="nil"/>
              <w:left w:val="nil"/>
              <w:bottom w:val="nil"/>
              <w:right w:val="nil"/>
            </w:tcBorders>
            <w:vAlign w:val="center"/>
            <w:hideMark/>
          </w:tcPr>
          <w:p w:rsidR="00FE7FEB" w:rsidRDefault="00FE7FEB" w:rsidP="00D816E6">
            <w:pPr>
              <w:rPr>
                <w:rFonts w:eastAsia="Times New Roman"/>
                <w:sz w:val="18"/>
                <w:szCs w:val="18"/>
                <w:lang w:eastAsia="tr-TR"/>
              </w:rPr>
            </w:pPr>
          </w:p>
        </w:tc>
      </w:tr>
      <w:tr w:rsidR="00FE7FEB" w:rsidTr="00D816E6">
        <w:trPr>
          <w:trHeight w:val="20"/>
          <w:jc w:val="center"/>
        </w:trPr>
        <w:tc>
          <w:tcPr>
            <w:tcW w:w="24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rPr>
                <w:rFonts w:eastAsia="Times New Roman"/>
                <w:b/>
                <w:sz w:val="18"/>
                <w:szCs w:val="18"/>
                <w:lang w:eastAsia="tr-TR"/>
              </w:rPr>
            </w:pPr>
            <w:r>
              <w:rPr>
                <w:rFonts w:eastAsia="Times New Roman"/>
                <w:b/>
                <w:sz w:val="18"/>
                <w:szCs w:val="18"/>
                <w:lang w:eastAsia="tr-TR"/>
              </w:rPr>
              <w:t>TOTAL</w:t>
            </w:r>
          </w:p>
        </w:tc>
        <w:tc>
          <w:tcPr>
            <w:tcW w:w="259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Default="00FE7FEB" w:rsidP="00D816E6">
            <w:pPr>
              <w:spacing w:after="0" w:line="240" w:lineRule="auto"/>
              <w:jc w:val="right"/>
              <w:rPr>
                <w:rFonts w:eastAsia="Times New Roman"/>
                <w:b/>
                <w:sz w:val="18"/>
                <w:szCs w:val="18"/>
                <w:lang w:eastAsia="tr-TR"/>
              </w:rPr>
            </w:pPr>
            <w:r>
              <w:rPr>
                <w:rFonts w:eastAsia="Times New Roman"/>
                <w:b/>
                <w:sz w:val="18"/>
                <w:szCs w:val="18"/>
                <w:lang w:eastAsia="tr-TR"/>
              </w:rPr>
              <w:t xml:space="preserve">5.706.978.323,77   </w:t>
            </w:r>
          </w:p>
        </w:tc>
        <w:tc>
          <w:tcPr>
            <w:tcW w:w="6" w:type="dxa"/>
            <w:tcBorders>
              <w:top w:val="nil"/>
              <w:left w:val="nil"/>
              <w:bottom w:val="nil"/>
              <w:right w:val="nil"/>
            </w:tcBorders>
            <w:vAlign w:val="center"/>
            <w:hideMark/>
          </w:tcPr>
          <w:p w:rsidR="00FE7FEB" w:rsidRDefault="00FE7FEB" w:rsidP="00D816E6">
            <w:pPr>
              <w:rPr>
                <w:rFonts w:eastAsia="Times New Roman"/>
                <w:b/>
                <w:sz w:val="18"/>
                <w:szCs w:val="18"/>
                <w:lang w:eastAsia="tr-TR"/>
              </w:rPr>
            </w:pPr>
          </w:p>
        </w:tc>
      </w:tr>
    </w:tbl>
    <w:p w:rsidR="00FE7FEB" w:rsidRDefault="00FE7FEB" w:rsidP="00FE7FEB"/>
    <w:p w:rsidR="00FE7FEB" w:rsidRPr="00693CCE" w:rsidRDefault="00FE7FEB" w:rsidP="00FE7FEB">
      <w:r w:rsidRPr="00693CCE">
        <w:t>Note: Prepared by Electricity Distribution Company as of 31/12/2018, taking into account the investment forecast notification statements for 2018 announced on EBIS.</w:t>
      </w:r>
    </w:p>
    <w:p w:rsidR="00FE7FEB" w:rsidRPr="004530BB" w:rsidRDefault="00FE7FEB" w:rsidP="004530BB">
      <w:pPr>
        <w:pStyle w:val="Balk4"/>
      </w:pPr>
      <w:bookmarkStart w:id="167" w:name="_Toc514251648"/>
      <w:r w:rsidRPr="004530BB">
        <w:t>4.1.2.1.Distribution System Connection Fee</w:t>
      </w:r>
      <w:bookmarkEnd w:id="167"/>
    </w:p>
    <w:p w:rsidR="00FE7FEB" w:rsidRPr="00822B0A" w:rsidRDefault="00FE7FEB" w:rsidP="00FE7FEB">
      <w:pPr>
        <w:spacing w:after="120" w:line="240" w:lineRule="auto"/>
        <w:jc w:val="both"/>
        <w:rPr>
          <w:color w:val="000000" w:themeColor="text1"/>
        </w:rPr>
      </w:pPr>
      <w:r w:rsidRPr="00822B0A">
        <w:rPr>
          <w:color w:val="000000" w:themeColor="text1"/>
        </w:rPr>
        <w:t xml:space="preserve">With the Board Decision dated </w:t>
      </w:r>
      <w:r>
        <w:rPr>
          <w:color w:val="000000" w:themeColor="text1"/>
        </w:rPr>
        <w:t xml:space="preserve">13.12.2018 </w:t>
      </w:r>
      <w:r w:rsidRPr="00822B0A">
        <w:rPr>
          <w:color w:val="000000" w:themeColor="text1"/>
        </w:rPr>
        <w:t xml:space="preserve">and numbered </w:t>
      </w:r>
      <w:r>
        <w:rPr>
          <w:color w:val="000000" w:themeColor="text1"/>
        </w:rPr>
        <w:t xml:space="preserve">8252-16 </w:t>
      </w:r>
      <w:r w:rsidRPr="00822B0A">
        <w:rPr>
          <w:color w:val="000000" w:themeColor="text1"/>
        </w:rPr>
        <w:t xml:space="preserve">published in the Official Gazette dated </w:t>
      </w:r>
      <w:r>
        <w:rPr>
          <w:color w:val="000000" w:themeColor="text1"/>
        </w:rPr>
        <w:t xml:space="preserve">18.12.2018 </w:t>
      </w:r>
      <w:r w:rsidRPr="00822B0A">
        <w:rPr>
          <w:color w:val="000000" w:themeColor="text1"/>
        </w:rPr>
        <w:t>and numbered 30</w:t>
      </w:r>
      <w:r>
        <w:rPr>
          <w:color w:val="000000" w:themeColor="text1"/>
        </w:rPr>
        <w:t>629</w:t>
      </w:r>
      <w:r w:rsidRPr="00822B0A">
        <w:rPr>
          <w:color w:val="000000" w:themeColor="text1"/>
        </w:rPr>
        <w:t xml:space="preserve"> it is decided to;</w:t>
      </w:r>
    </w:p>
    <w:p w:rsidR="00FE7FEB" w:rsidRPr="00822B0A" w:rsidRDefault="00FE7FEB" w:rsidP="00E37E90">
      <w:pPr>
        <w:pStyle w:val="ListeParagraf"/>
        <w:numPr>
          <w:ilvl w:val="0"/>
          <w:numId w:val="22"/>
        </w:numPr>
        <w:spacing w:after="120" w:line="240" w:lineRule="auto"/>
        <w:jc w:val="both"/>
      </w:pPr>
      <w:r w:rsidRPr="00822B0A">
        <w:t>In case both aeria and underground cable are used in the connection line, in calculation of the unit cost, lenght of each of the aerial and underground lines are taken intoconsidertaion seperately.</w:t>
      </w:r>
    </w:p>
    <w:p w:rsidR="00FE7FEB" w:rsidRDefault="00FE7FEB" w:rsidP="00E37E90">
      <w:pPr>
        <w:pStyle w:val="ListeParagraf"/>
        <w:numPr>
          <w:ilvl w:val="0"/>
          <w:numId w:val="22"/>
        </w:numPr>
        <w:spacing w:after="120" w:line="240" w:lineRule="auto"/>
        <w:jc w:val="both"/>
      </w:pPr>
      <w:r w:rsidRPr="00822B0A">
        <w:t xml:space="preserve">When calculating the connection fees for lines above 100 kW, to add the amount found by multiplying each kW exceeding 100 KW with 0,6 TL/meter to the amount of 84,88 TL/meter which is the cost for up to 100 kW. </w:t>
      </w:r>
    </w:p>
    <w:p w:rsidR="00FE7FEB" w:rsidRDefault="00FE7FEB" w:rsidP="00E37E90">
      <w:pPr>
        <w:pStyle w:val="ListeParagraf"/>
        <w:numPr>
          <w:ilvl w:val="0"/>
          <w:numId w:val="22"/>
        </w:numPr>
        <w:spacing w:after="120" w:line="240" w:lineRule="auto"/>
        <w:jc w:val="both"/>
      </w:pPr>
      <w:r w:rsidRPr="00C52D09">
        <w:t>The customer receiving connection service by the Company shall not be charged any other price under the name other than TL / meter based prices,</w:t>
      </w:r>
    </w:p>
    <w:p w:rsidR="00FE7FEB" w:rsidRDefault="00FE7FEB" w:rsidP="00E37E90">
      <w:pPr>
        <w:pStyle w:val="ListeParagraf"/>
        <w:numPr>
          <w:ilvl w:val="0"/>
          <w:numId w:val="22"/>
        </w:numPr>
        <w:spacing w:after="120" w:line="240" w:lineRule="auto"/>
        <w:jc w:val="both"/>
      </w:pPr>
      <w:r w:rsidRPr="009D2427">
        <w:t>Based on the power specified in the first paragraph of Article 3 of the Connection Agreement to the Distribution System as the basis for the connection fee,</w:t>
      </w:r>
    </w:p>
    <w:p w:rsidR="00FE7FEB" w:rsidRPr="00632FCC" w:rsidRDefault="00FE7FEB" w:rsidP="00E37E90">
      <w:pPr>
        <w:pStyle w:val="ListeParagraf"/>
        <w:numPr>
          <w:ilvl w:val="0"/>
          <w:numId w:val="22"/>
        </w:numPr>
        <w:spacing w:after="120" w:line="240" w:lineRule="auto"/>
        <w:jc w:val="both"/>
      </w:pPr>
      <w:r w:rsidRPr="00C52D09">
        <w:t>In this context, it has been decided to apply the prices in the following table 4.12 as Distribution Connection Fee for 2019 as of the effective date of the Decision.</w:t>
      </w:r>
    </w:p>
    <w:p w:rsidR="00FE7FEB" w:rsidRPr="00542DD6" w:rsidRDefault="00FE7FEB" w:rsidP="00542DD6">
      <w:pPr>
        <w:pStyle w:val="Balk5"/>
        <w:rPr>
          <w:rStyle w:val="Gl"/>
          <w:b/>
          <w:bCs w:val="0"/>
        </w:rPr>
      </w:pPr>
      <w:bookmarkStart w:id="168" w:name="_Toc505346185"/>
      <w:bookmarkStart w:id="169" w:name="_Toc512874149"/>
      <w:bookmarkStart w:id="170" w:name="_Toc12958493"/>
      <w:r w:rsidRPr="00542DD6">
        <w:rPr>
          <w:rStyle w:val="Gl"/>
          <w:b/>
          <w:bCs w:val="0"/>
        </w:rPr>
        <w:t xml:space="preserve">Table 4.12: Distribution </w:t>
      </w:r>
      <w:bookmarkEnd w:id="168"/>
      <w:bookmarkEnd w:id="169"/>
      <w:r w:rsidRPr="00542DD6">
        <w:rPr>
          <w:rStyle w:val="Gl"/>
          <w:b/>
          <w:bCs w:val="0"/>
        </w:rPr>
        <w:t>System Connection Fees</w:t>
      </w:r>
      <w:bookmarkEnd w:id="170"/>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816"/>
        <w:gridCol w:w="4303"/>
      </w:tblGrid>
      <w:tr w:rsidR="00FE7FEB" w:rsidRPr="00822B0A" w:rsidTr="00D816E6">
        <w:trPr>
          <w:trHeight w:val="325"/>
          <w:jc w:val="center"/>
        </w:trPr>
        <w:tc>
          <w:tcPr>
            <w:tcW w:w="1484" w:type="pct"/>
            <w:shd w:val="clear" w:color="auto" w:fill="6E9ECA"/>
            <w:noWrap/>
            <w:vAlign w:val="center"/>
            <w:hideMark/>
          </w:tcPr>
          <w:p w:rsidR="00FE7FEB" w:rsidRPr="00822B0A" w:rsidRDefault="00FE7FEB" w:rsidP="00D816E6">
            <w:pPr>
              <w:spacing w:after="0" w:line="240" w:lineRule="auto"/>
              <w:jc w:val="both"/>
              <w:rPr>
                <w:b/>
                <w:bCs/>
                <w:color w:val="FFFFFF" w:themeColor="background1"/>
              </w:rPr>
            </w:pPr>
            <w:r w:rsidRPr="00822B0A">
              <w:rPr>
                <w:b/>
                <w:bCs/>
                <w:color w:val="FFFFFF" w:themeColor="background1"/>
              </w:rPr>
              <w:t>Connection Fee</w:t>
            </w:r>
          </w:p>
        </w:tc>
        <w:tc>
          <w:tcPr>
            <w:tcW w:w="3516" w:type="pct"/>
            <w:shd w:val="clear" w:color="auto" w:fill="6E9ECA"/>
            <w:noWrap/>
            <w:vAlign w:val="center"/>
            <w:hideMark/>
          </w:tcPr>
          <w:p w:rsidR="00FE7FEB" w:rsidRPr="00822B0A" w:rsidRDefault="00FE7FEB" w:rsidP="00D816E6">
            <w:pPr>
              <w:spacing w:after="0" w:line="240" w:lineRule="auto"/>
              <w:jc w:val="both"/>
              <w:rPr>
                <w:b/>
                <w:bCs/>
                <w:color w:val="FFFFFF" w:themeColor="background1"/>
              </w:rPr>
            </w:pPr>
            <w:r w:rsidRPr="00822B0A">
              <w:rPr>
                <w:b/>
                <w:bCs/>
                <w:color w:val="FFFFFF" w:themeColor="background1"/>
              </w:rPr>
              <w:t>TL/meter</w:t>
            </w:r>
          </w:p>
        </w:tc>
      </w:tr>
      <w:tr w:rsidR="00FE7FEB" w:rsidRPr="00822B0A" w:rsidTr="00D816E6">
        <w:trPr>
          <w:trHeight w:val="325"/>
          <w:jc w:val="center"/>
        </w:trPr>
        <w:tc>
          <w:tcPr>
            <w:tcW w:w="5000" w:type="pct"/>
            <w:gridSpan w:val="2"/>
            <w:shd w:val="clear" w:color="auto" w:fill="FFFFFF"/>
            <w:noWrap/>
            <w:vAlign w:val="center"/>
            <w:hideMark/>
          </w:tcPr>
          <w:p w:rsidR="00FE7FEB" w:rsidRPr="00822B0A" w:rsidRDefault="00FE7FEB" w:rsidP="00D816E6">
            <w:pPr>
              <w:spacing w:after="0" w:line="240" w:lineRule="auto"/>
              <w:jc w:val="both"/>
              <w:rPr>
                <w:b/>
                <w:bCs/>
              </w:rPr>
            </w:pPr>
            <w:r w:rsidRPr="00822B0A">
              <w:rPr>
                <w:b/>
                <w:bCs/>
              </w:rPr>
              <w:t>LV</w:t>
            </w:r>
          </w:p>
        </w:tc>
      </w:tr>
      <w:tr w:rsidR="00FE7FEB" w:rsidRPr="00822B0A" w:rsidTr="00D816E6">
        <w:trPr>
          <w:trHeight w:val="230"/>
          <w:jc w:val="center"/>
        </w:trPr>
        <w:tc>
          <w:tcPr>
            <w:tcW w:w="1484" w:type="pct"/>
            <w:noWrap/>
            <w:vAlign w:val="center"/>
            <w:hideMark/>
          </w:tcPr>
          <w:p w:rsidR="00FE7FEB" w:rsidRPr="00822B0A" w:rsidRDefault="00FE7FEB" w:rsidP="00D816E6">
            <w:pPr>
              <w:spacing w:after="0" w:line="240" w:lineRule="auto"/>
              <w:jc w:val="both"/>
              <w:rPr>
                <w:b/>
                <w:bCs/>
              </w:rPr>
            </w:pPr>
            <w:r w:rsidRPr="00822B0A">
              <w:rPr>
                <w:b/>
                <w:bCs/>
              </w:rPr>
              <w:t>0-15 kW (inc)</w:t>
            </w:r>
          </w:p>
        </w:tc>
        <w:tc>
          <w:tcPr>
            <w:tcW w:w="3516" w:type="pct"/>
            <w:shd w:val="clear" w:color="auto" w:fill="FFFFFF"/>
            <w:noWrap/>
            <w:vAlign w:val="center"/>
            <w:hideMark/>
          </w:tcPr>
          <w:p w:rsidR="00FE7FEB" w:rsidRPr="00822B0A" w:rsidRDefault="00FE7FEB" w:rsidP="00D816E6">
            <w:pPr>
              <w:spacing w:after="0" w:line="240" w:lineRule="auto"/>
            </w:pPr>
            <w:r w:rsidRPr="00822B0A">
              <w:t> </w:t>
            </w:r>
          </w:p>
        </w:tc>
      </w:tr>
      <w:tr w:rsidR="00FE7FEB" w:rsidRPr="00822B0A" w:rsidTr="00D816E6">
        <w:trPr>
          <w:trHeight w:val="262"/>
          <w:jc w:val="center"/>
        </w:trPr>
        <w:tc>
          <w:tcPr>
            <w:tcW w:w="1484" w:type="pct"/>
            <w:shd w:val="clear" w:color="auto" w:fill="FFFFFF"/>
            <w:noWrap/>
            <w:vAlign w:val="center"/>
            <w:hideMark/>
          </w:tcPr>
          <w:p w:rsidR="00FE7FEB" w:rsidRPr="00822B0A" w:rsidRDefault="00FE7FEB" w:rsidP="00D816E6">
            <w:pPr>
              <w:spacing w:after="0" w:line="240" w:lineRule="auto"/>
              <w:jc w:val="both"/>
            </w:pPr>
            <w:r w:rsidRPr="00822B0A">
              <w:t>Underground</w:t>
            </w:r>
          </w:p>
        </w:tc>
        <w:tc>
          <w:tcPr>
            <w:tcW w:w="3516" w:type="pct"/>
            <w:shd w:val="clear" w:color="auto" w:fill="FFFFFF"/>
            <w:noWrap/>
            <w:vAlign w:val="center"/>
            <w:hideMark/>
          </w:tcPr>
          <w:p w:rsidR="00FE7FEB" w:rsidRPr="00822B0A" w:rsidRDefault="00FE7FEB" w:rsidP="00D816E6">
            <w:pPr>
              <w:spacing w:after="0" w:line="240" w:lineRule="auto"/>
              <w:jc w:val="right"/>
            </w:pPr>
            <w:r>
              <w:t>54,17</w:t>
            </w:r>
          </w:p>
        </w:tc>
      </w:tr>
      <w:tr w:rsidR="00FE7FEB" w:rsidRPr="00822B0A" w:rsidTr="00D816E6">
        <w:trPr>
          <w:trHeight w:val="275"/>
          <w:jc w:val="center"/>
        </w:trPr>
        <w:tc>
          <w:tcPr>
            <w:tcW w:w="1484" w:type="pct"/>
            <w:shd w:val="clear" w:color="auto" w:fill="FFFFFF"/>
            <w:noWrap/>
            <w:vAlign w:val="center"/>
            <w:hideMark/>
          </w:tcPr>
          <w:p w:rsidR="00FE7FEB" w:rsidRPr="00822B0A" w:rsidRDefault="00FE7FEB" w:rsidP="00D816E6">
            <w:pPr>
              <w:spacing w:after="0" w:line="240" w:lineRule="auto"/>
              <w:jc w:val="both"/>
            </w:pPr>
            <w:r w:rsidRPr="00822B0A">
              <w:t>Aerial</w:t>
            </w:r>
          </w:p>
        </w:tc>
        <w:tc>
          <w:tcPr>
            <w:tcW w:w="3516" w:type="pct"/>
            <w:shd w:val="clear" w:color="auto" w:fill="FFFFFF"/>
            <w:noWrap/>
            <w:vAlign w:val="center"/>
            <w:hideMark/>
          </w:tcPr>
          <w:p w:rsidR="00FE7FEB" w:rsidRPr="00822B0A" w:rsidRDefault="00FE7FEB" w:rsidP="00D816E6">
            <w:pPr>
              <w:spacing w:after="0" w:line="240" w:lineRule="auto"/>
              <w:jc w:val="right"/>
            </w:pPr>
            <w:r>
              <w:t>25,18</w:t>
            </w:r>
          </w:p>
        </w:tc>
      </w:tr>
      <w:tr w:rsidR="00FE7FEB" w:rsidRPr="00822B0A" w:rsidTr="00D816E6">
        <w:trPr>
          <w:trHeight w:val="275"/>
          <w:jc w:val="center"/>
        </w:trPr>
        <w:tc>
          <w:tcPr>
            <w:tcW w:w="1484" w:type="pct"/>
            <w:noWrap/>
            <w:vAlign w:val="center"/>
            <w:hideMark/>
          </w:tcPr>
          <w:p w:rsidR="00FE7FEB" w:rsidRPr="00822B0A" w:rsidRDefault="00FE7FEB" w:rsidP="00D816E6">
            <w:pPr>
              <w:spacing w:after="0" w:line="240" w:lineRule="auto"/>
              <w:jc w:val="both"/>
              <w:rPr>
                <w:b/>
                <w:bCs/>
              </w:rPr>
            </w:pPr>
            <w:r w:rsidRPr="00822B0A">
              <w:rPr>
                <w:b/>
                <w:bCs/>
              </w:rPr>
              <w:t>15-50 kW</w:t>
            </w:r>
          </w:p>
        </w:tc>
        <w:tc>
          <w:tcPr>
            <w:tcW w:w="3516" w:type="pct"/>
            <w:shd w:val="clear" w:color="auto" w:fill="FFFFFF"/>
            <w:noWrap/>
            <w:vAlign w:val="center"/>
            <w:hideMark/>
          </w:tcPr>
          <w:p w:rsidR="00FE7FEB" w:rsidRPr="00822B0A" w:rsidRDefault="00FE7FEB" w:rsidP="00D816E6">
            <w:pPr>
              <w:spacing w:after="0" w:line="240" w:lineRule="auto"/>
              <w:jc w:val="right"/>
              <w:rPr>
                <w:b/>
                <w:bCs/>
              </w:rPr>
            </w:pPr>
            <w:r w:rsidRPr="00822B0A">
              <w:rPr>
                <w:b/>
                <w:bCs/>
              </w:rPr>
              <w:t> </w:t>
            </w:r>
          </w:p>
        </w:tc>
      </w:tr>
      <w:tr w:rsidR="00FE7FEB" w:rsidRPr="00822B0A" w:rsidTr="00D816E6">
        <w:trPr>
          <w:trHeight w:val="262"/>
          <w:jc w:val="center"/>
        </w:trPr>
        <w:tc>
          <w:tcPr>
            <w:tcW w:w="1484" w:type="pct"/>
            <w:shd w:val="clear" w:color="auto" w:fill="FFFFFF"/>
            <w:noWrap/>
            <w:vAlign w:val="center"/>
            <w:hideMark/>
          </w:tcPr>
          <w:p w:rsidR="00FE7FEB" w:rsidRPr="00822B0A" w:rsidRDefault="00FE7FEB" w:rsidP="00D816E6">
            <w:pPr>
              <w:spacing w:after="0" w:line="240" w:lineRule="auto"/>
              <w:jc w:val="both"/>
            </w:pPr>
            <w:r w:rsidRPr="00822B0A">
              <w:t>Underground</w:t>
            </w:r>
          </w:p>
        </w:tc>
        <w:tc>
          <w:tcPr>
            <w:tcW w:w="3516" w:type="pct"/>
            <w:shd w:val="clear" w:color="auto" w:fill="FFFFFF"/>
            <w:noWrap/>
            <w:vAlign w:val="center"/>
            <w:hideMark/>
          </w:tcPr>
          <w:p w:rsidR="00FE7FEB" w:rsidRPr="00822B0A" w:rsidRDefault="00FE7FEB" w:rsidP="00D816E6">
            <w:pPr>
              <w:spacing w:after="0" w:line="240" w:lineRule="auto"/>
              <w:jc w:val="right"/>
            </w:pPr>
            <w:r>
              <w:t>73,32</w:t>
            </w:r>
          </w:p>
        </w:tc>
      </w:tr>
      <w:tr w:rsidR="00FE7FEB" w:rsidRPr="00822B0A" w:rsidTr="00D816E6">
        <w:trPr>
          <w:trHeight w:val="275"/>
          <w:jc w:val="center"/>
        </w:trPr>
        <w:tc>
          <w:tcPr>
            <w:tcW w:w="1484" w:type="pct"/>
            <w:noWrap/>
            <w:vAlign w:val="center"/>
            <w:hideMark/>
          </w:tcPr>
          <w:p w:rsidR="00FE7FEB" w:rsidRPr="00822B0A" w:rsidRDefault="00FE7FEB" w:rsidP="00D816E6">
            <w:pPr>
              <w:spacing w:after="0" w:line="240" w:lineRule="auto"/>
              <w:jc w:val="both"/>
            </w:pPr>
            <w:r w:rsidRPr="00822B0A">
              <w:t>Aerial</w:t>
            </w:r>
          </w:p>
        </w:tc>
        <w:tc>
          <w:tcPr>
            <w:tcW w:w="3516" w:type="pct"/>
            <w:shd w:val="clear" w:color="auto" w:fill="FFFFFF"/>
            <w:noWrap/>
            <w:vAlign w:val="center"/>
            <w:hideMark/>
          </w:tcPr>
          <w:p w:rsidR="00FE7FEB" w:rsidRPr="00822B0A" w:rsidRDefault="00FE7FEB" w:rsidP="00D816E6">
            <w:pPr>
              <w:spacing w:after="0" w:line="240" w:lineRule="auto"/>
              <w:jc w:val="right"/>
            </w:pPr>
            <w:r>
              <w:t>42,74</w:t>
            </w:r>
          </w:p>
        </w:tc>
      </w:tr>
      <w:tr w:rsidR="00FE7FEB" w:rsidRPr="00822B0A" w:rsidTr="00D816E6">
        <w:trPr>
          <w:trHeight w:val="262"/>
          <w:jc w:val="center"/>
        </w:trPr>
        <w:tc>
          <w:tcPr>
            <w:tcW w:w="1484" w:type="pct"/>
            <w:shd w:val="clear" w:color="auto" w:fill="FFFFFF"/>
            <w:noWrap/>
            <w:vAlign w:val="center"/>
            <w:hideMark/>
          </w:tcPr>
          <w:p w:rsidR="00FE7FEB" w:rsidRPr="00822B0A" w:rsidRDefault="00FE7FEB" w:rsidP="00D816E6">
            <w:pPr>
              <w:spacing w:after="0" w:line="240" w:lineRule="auto"/>
              <w:jc w:val="both"/>
              <w:rPr>
                <w:b/>
                <w:bCs/>
              </w:rPr>
            </w:pPr>
            <w:r w:rsidRPr="00822B0A">
              <w:rPr>
                <w:b/>
                <w:bCs/>
              </w:rPr>
              <w:t>50-100 kW</w:t>
            </w:r>
          </w:p>
        </w:tc>
        <w:tc>
          <w:tcPr>
            <w:tcW w:w="3516" w:type="pct"/>
            <w:shd w:val="clear" w:color="auto" w:fill="FFFFFF"/>
            <w:noWrap/>
            <w:vAlign w:val="center"/>
            <w:hideMark/>
          </w:tcPr>
          <w:p w:rsidR="00FE7FEB" w:rsidRPr="00822B0A" w:rsidRDefault="00FE7FEB" w:rsidP="00D816E6">
            <w:pPr>
              <w:spacing w:after="0" w:line="240" w:lineRule="auto"/>
              <w:jc w:val="right"/>
              <w:rPr>
                <w:b/>
                <w:bCs/>
              </w:rPr>
            </w:pPr>
            <w:r w:rsidRPr="00822B0A">
              <w:rPr>
                <w:b/>
                <w:bCs/>
              </w:rPr>
              <w:t> </w:t>
            </w:r>
          </w:p>
        </w:tc>
      </w:tr>
      <w:tr w:rsidR="00FE7FEB" w:rsidRPr="00822B0A" w:rsidTr="00D816E6">
        <w:trPr>
          <w:trHeight w:val="262"/>
          <w:jc w:val="center"/>
        </w:trPr>
        <w:tc>
          <w:tcPr>
            <w:tcW w:w="1484" w:type="pct"/>
            <w:shd w:val="clear" w:color="auto" w:fill="FFFFFF"/>
            <w:noWrap/>
            <w:vAlign w:val="center"/>
            <w:hideMark/>
          </w:tcPr>
          <w:p w:rsidR="00FE7FEB" w:rsidRPr="00822B0A" w:rsidRDefault="00FE7FEB" w:rsidP="00D816E6">
            <w:pPr>
              <w:spacing w:after="0" w:line="240" w:lineRule="auto"/>
              <w:jc w:val="both"/>
            </w:pPr>
            <w:r w:rsidRPr="00822B0A">
              <w:t>Underground</w:t>
            </w:r>
          </w:p>
        </w:tc>
        <w:tc>
          <w:tcPr>
            <w:tcW w:w="3516" w:type="pct"/>
            <w:shd w:val="clear" w:color="auto" w:fill="FFFFFF"/>
            <w:noWrap/>
            <w:vAlign w:val="center"/>
            <w:hideMark/>
          </w:tcPr>
          <w:p w:rsidR="00FE7FEB" w:rsidRPr="00822B0A" w:rsidRDefault="00FE7FEB" w:rsidP="00D816E6">
            <w:pPr>
              <w:spacing w:after="0" w:line="240" w:lineRule="auto"/>
              <w:jc w:val="right"/>
            </w:pPr>
            <w:r>
              <w:t>100,12</w:t>
            </w:r>
          </w:p>
        </w:tc>
      </w:tr>
      <w:tr w:rsidR="00FE7FEB" w:rsidRPr="00822B0A" w:rsidTr="00D816E6">
        <w:trPr>
          <w:trHeight w:val="262"/>
          <w:jc w:val="center"/>
        </w:trPr>
        <w:tc>
          <w:tcPr>
            <w:tcW w:w="1484" w:type="pct"/>
            <w:shd w:val="clear" w:color="auto" w:fill="FFFFFF"/>
            <w:noWrap/>
            <w:vAlign w:val="center"/>
            <w:hideMark/>
          </w:tcPr>
          <w:p w:rsidR="00FE7FEB" w:rsidRPr="00822B0A" w:rsidRDefault="00FE7FEB" w:rsidP="00D816E6">
            <w:pPr>
              <w:spacing w:after="0" w:line="240" w:lineRule="auto"/>
              <w:jc w:val="both"/>
            </w:pPr>
            <w:r w:rsidRPr="00822B0A">
              <w:t>Aerial</w:t>
            </w:r>
          </w:p>
        </w:tc>
        <w:tc>
          <w:tcPr>
            <w:tcW w:w="3516" w:type="pct"/>
            <w:shd w:val="clear" w:color="auto" w:fill="FFFFFF"/>
            <w:noWrap/>
            <w:vAlign w:val="center"/>
            <w:hideMark/>
          </w:tcPr>
          <w:p w:rsidR="00FE7FEB" w:rsidRPr="00822B0A" w:rsidRDefault="00FE7FEB" w:rsidP="00D816E6">
            <w:pPr>
              <w:spacing w:after="0" w:line="240" w:lineRule="auto"/>
              <w:jc w:val="right"/>
            </w:pPr>
            <w:r>
              <w:t>53,24</w:t>
            </w:r>
          </w:p>
        </w:tc>
      </w:tr>
      <w:tr w:rsidR="00FE7FEB" w:rsidRPr="00822B0A" w:rsidTr="00D816E6">
        <w:trPr>
          <w:trHeight w:val="63"/>
          <w:jc w:val="center"/>
        </w:trPr>
        <w:tc>
          <w:tcPr>
            <w:tcW w:w="1484" w:type="pct"/>
            <w:noWrap/>
            <w:vAlign w:val="center"/>
            <w:hideMark/>
          </w:tcPr>
          <w:p w:rsidR="00FE7FEB" w:rsidRPr="00822B0A" w:rsidRDefault="00FE7FEB" w:rsidP="00D816E6">
            <w:pPr>
              <w:spacing w:after="0" w:line="240" w:lineRule="auto"/>
              <w:jc w:val="both"/>
              <w:rPr>
                <w:b/>
                <w:bCs/>
              </w:rPr>
            </w:pPr>
            <w:r>
              <w:rPr>
                <w:b/>
                <w:bCs/>
              </w:rPr>
              <w:t xml:space="preserve">Over </w:t>
            </w:r>
            <w:r w:rsidRPr="00822B0A">
              <w:rPr>
                <w:b/>
                <w:bCs/>
              </w:rPr>
              <w:t>100 kW</w:t>
            </w:r>
          </w:p>
        </w:tc>
        <w:tc>
          <w:tcPr>
            <w:tcW w:w="3516" w:type="pct"/>
            <w:shd w:val="clear" w:color="auto" w:fill="FFFFFF"/>
            <w:noWrap/>
            <w:vAlign w:val="center"/>
            <w:hideMark/>
          </w:tcPr>
          <w:p w:rsidR="00FE7FEB" w:rsidRPr="00822B0A" w:rsidRDefault="00FE7FEB" w:rsidP="00D816E6">
            <w:pPr>
              <w:spacing w:after="0" w:line="240" w:lineRule="auto"/>
              <w:jc w:val="right"/>
              <w:rPr>
                <w:b/>
                <w:bCs/>
              </w:rPr>
            </w:pPr>
            <w:r w:rsidRPr="00822B0A">
              <w:rPr>
                <w:b/>
                <w:bCs/>
              </w:rPr>
              <w:t> </w:t>
            </w:r>
          </w:p>
        </w:tc>
      </w:tr>
      <w:tr w:rsidR="00FE7FEB" w:rsidRPr="00822B0A" w:rsidTr="00D816E6">
        <w:trPr>
          <w:trHeight w:val="289"/>
          <w:jc w:val="center"/>
        </w:trPr>
        <w:tc>
          <w:tcPr>
            <w:tcW w:w="1484" w:type="pct"/>
            <w:shd w:val="clear" w:color="auto" w:fill="FFFFFF"/>
            <w:noWrap/>
            <w:vAlign w:val="center"/>
            <w:hideMark/>
          </w:tcPr>
          <w:p w:rsidR="00FE7FEB" w:rsidRPr="00822B0A" w:rsidRDefault="00FE7FEB" w:rsidP="00D816E6">
            <w:pPr>
              <w:spacing w:after="0" w:line="240" w:lineRule="auto"/>
              <w:jc w:val="both"/>
            </w:pPr>
            <w:r w:rsidRPr="00822B0A">
              <w:t>Underground</w:t>
            </w:r>
          </w:p>
        </w:tc>
        <w:tc>
          <w:tcPr>
            <w:tcW w:w="3516" w:type="pct"/>
            <w:shd w:val="clear" w:color="auto" w:fill="FFFFFF"/>
            <w:noWrap/>
            <w:vAlign w:val="center"/>
            <w:hideMark/>
          </w:tcPr>
          <w:p w:rsidR="00FE7FEB" w:rsidRPr="00822B0A" w:rsidRDefault="00FE7FEB" w:rsidP="00D816E6">
            <w:pPr>
              <w:spacing w:after="0" w:line="240" w:lineRule="auto"/>
              <w:jc w:val="right"/>
            </w:pPr>
            <w:r>
              <w:t>100,12+0,6×(Güç-100)</w:t>
            </w:r>
          </w:p>
        </w:tc>
      </w:tr>
      <w:tr w:rsidR="00FE7FEB" w:rsidRPr="00822B0A" w:rsidTr="00D816E6">
        <w:trPr>
          <w:trHeight w:val="275"/>
          <w:jc w:val="center"/>
        </w:trPr>
        <w:tc>
          <w:tcPr>
            <w:tcW w:w="1484" w:type="pct"/>
            <w:shd w:val="clear" w:color="auto" w:fill="FFFFFF"/>
            <w:noWrap/>
            <w:vAlign w:val="center"/>
            <w:hideMark/>
          </w:tcPr>
          <w:p w:rsidR="00FE7FEB" w:rsidRPr="00822B0A" w:rsidRDefault="00FE7FEB" w:rsidP="00D816E6">
            <w:pPr>
              <w:spacing w:after="0" w:line="240" w:lineRule="auto"/>
              <w:rPr>
                <w:b/>
                <w:bCs/>
              </w:rPr>
            </w:pPr>
            <w:r w:rsidRPr="00822B0A">
              <w:rPr>
                <w:b/>
                <w:bCs/>
              </w:rPr>
              <w:t>MV</w:t>
            </w:r>
          </w:p>
        </w:tc>
        <w:tc>
          <w:tcPr>
            <w:tcW w:w="3516" w:type="pct"/>
            <w:noWrap/>
            <w:vAlign w:val="center"/>
            <w:hideMark/>
          </w:tcPr>
          <w:p w:rsidR="00FE7FEB" w:rsidRPr="00822B0A" w:rsidRDefault="00FE7FEB" w:rsidP="00D816E6">
            <w:pPr>
              <w:spacing w:after="0" w:line="240" w:lineRule="auto"/>
              <w:jc w:val="right"/>
              <w:rPr>
                <w:b/>
                <w:bCs/>
              </w:rPr>
            </w:pPr>
            <w:r w:rsidRPr="00822B0A">
              <w:rPr>
                <w:b/>
                <w:bCs/>
              </w:rPr>
              <w:t> </w:t>
            </w:r>
          </w:p>
        </w:tc>
      </w:tr>
      <w:tr w:rsidR="00FE7FEB" w:rsidRPr="00822B0A" w:rsidTr="00D816E6">
        <w:trPr>
          <w:trHeight w:val="275"/>
          <w:jc w:val="center"/>
        </w:trPr>
        <w:tc>
          <w:tcPr>
            <w:tcW w:w="1484" w:type="pct"/>
            <w:shd w:val="clear" w:color="auto" w:fill="FFFFFF"/>
            <w:noWrap/>
            <w:vAlign w:val="center"/>
            <w:hideMark/>
          </w:tcPr>
          <w:p w:rsidR="00FE7FEB" w:rsidRPr="00822B0A" w:rsidRDefault="00FE7FEB" w:rsidP="00D816E6">
            <w:pPr>
              <w:spacing w:after="0" w:line="240" w:lineRule="auto"/>
              <w:jc w:val="both"/>
            </w:pPr>
            <w:r w:rsidRPr="00822B0A">
              <w:t>Underground</w:t>
            </w:r>
          </w:p>
        </w:tc>
        <w:tc>
          <w:tcPr>
            <w:tcW w:w="3516" w:type="pct"/>
            <w:shd w:val="clear" w:color="auto" w:fill="FFFFFF"/>
            <w:noWrap/>
            <w:vAlign w:val="center"/>
            <w:hideMark/>
          </w:tcPr>
          <w:p w:rsidR="00FE7FEB" w:rsidRPr="00822B0A" w:rsidRDefault="00FE7FEB" w:rsidP="00D816E6">
            <w:pPr>
              <w:spacing w:after="0" w:line="240" w:lineRule="auto"/>
              <w:jc w:val="right"/>
            </w:pPr>
            <w:r>
              <w:t>255,95</w:t>
            </w:r>
          </w:p>
        </w:tc>
      </w:tr>
      <w:tr w:rsidR="00FE7FEB" w:rsidRPr="00822B0A" w:rsidTr="00D816E6">
        <w:trPr>
          <w:trHeight w:val="275"/>
          <w:jc w:val="center"/>
        </w:trPr>
        <w:tc>
          <w:tcPr>
            <w:tcW w:w="1484" w:type="pct"/>
            <w:noWrap/>
            <w:vAlign w:val="center"/>
            <w:hideMark/>
          </w:tcPr>
          <w:p w:rsidR="00FE7FEB" w:rsidRPr="00822B0A" w:rsidRDefault="00FE7FEB" w:rsidP="00D816E6">
            <w:pPr>
              <w:spacing w:after="0" w:line="240" w:lineRule="auto"/>
              <w:jc w:val="both"/>
              <w:rPr>
                <w:b/>
                <w:bCs/>
              </w:rPr>
            </w:pPr>
            <w:r w:rsidRPr="00822B0A">
              <w:rPr>
                <w:b/>
                <w:bCs/>
              </w:rPr>
              <w:t>Aerial</w:t>
            </w:r>
          </w:p>
        </w:tc>
        <w:tc>
          <w:tcPr>
            <w:tcW w:w="3516" w:type="pct"/>
            <w:shd w:val="clear" w:color="auto" w:fill="FFFFFF"/>
            <w:noWrap/>
            <w:vAlign w:val="center"/>
            <w:hideMark/>
          </w:tcPr>
          <w:p w:rsidR="00FE7FEB" w:rsidRPr="00822B0A" w:rsidRDefault="00FE7FEB" w:rsidP="00D816E6">
            <w:pPr>
              <w:spacing w:after="0" w:line="240" w:lineRule="auto"/>
              <w:jc w:val="right"/>
            </w:pPr>
            <w:r>
              <w:t>68,42</w:t>
            </w:r>
          </w:p>
        </w:tc>
      </w:tr>
    </w:tbl>
    <w:p w:rsidR="00FE7FEB" w:rsidRDefault="00FE7FEB" w:rsidP="00FE7FEB">
      <w:pPr>
        <w:pStyle w:val="Balk4"/>
        <w:spacing w:before="0" w:after="120" w:line="240" w:lineRule="auto"/>
        <w:jc w:val="both"/>
        <w:rPr>
          <w:b w:val="0"/>
          <w:bCs/>
          <w:i/>
          <w:color w:val="000000" w:themeColor="text1"/>
        </w:rPr>
      </w:pPr>
    </w:p>
    <w:p w:rsidR="00FE7FEB" w:rsidRPr="004530BB" w:rsidRDefault="00FE7FEB" w:rsidP="004530BB">
      <w:pPr>
        <w:pStyle w:val="Balk4"/>
      </w:pPr>
      <w:bookmarkStart w:id="171" w:name="_Toc505346068"/>
      <w:bookmarkStart w:id="172" w:name="_Toc514251649"/>
      <w:r w:rsidRPr="004530BB">
        <w:t>4.1.2.2.Connecting-Disconnecting fee</w:t>
      </w:r>
      <w:bookmarkEnd w:id="171"/>
      <w:bookmarkEnd w:id="172"/>
    </w:p>
    <w:p w:rsidR="00FE7FEB" w:rsidRPr="004530BB" w:rsidRDefault="00FE7FEB" w:rsidP="00FE7FEB">
      <w:pPr>
        <w:pStyle w:val="Balk4"/>
        <w:spacing w:before="0" w:after="120" w:line="240" w:lineRule="auto"/>
        <w:jc w:val="both"/>
        <w:rPr>
          <w:b w:val="0"/>
          <w:bCs/>
          <w:color w:val="000000" w:themeColor="text1"/>
        </w:rPr>
      </w:pPr>
      <w:r w:rsidRPr="004530BB">
        <w:rPr>
          <w:b w:val="0"/>
          <w:bCs/>
          <w:color w:val="000000" w:themeColor="text1"/>
        </w:rPr>
        <w:t xml:space="preserve">With the Board Decision dated </w:t>
      </w:r>
      <w:r w:rsidRPr="004530BB">
        <w:rPr>
          <w:rFonts w:cstheme="minorHAnsi"/>
          <w:b w:val="0"/>
          <w:bCs/>
          <w:color w:val="000000" w:themeColor="text1"/>
        </w:rPr>
        <w:t>13.12.2018</w:t>
      </w:r>
      <w:r w:rsidRPr="004530BB">
        <w:rPr>
          <w:b w:val="0"/>
          <w:bCs/>
          <w:color w:val="000000" w:themeColor="text1"/>
        </w:rPr>
        <w:t xml:space="preserve"> and numbered </w:t>
      </w:r>
      <w:r w:rsidRPr="004530BB">
        <w:rPr>
          <w:rFonts w:cstheme="minorHAnsi"/>
          <w:b w:val="0"/>
          <w:bCs/>
          <w:color w:val="000000" w:themeColor="text1"/>
        </w:rPr>
        <w:t>8252-7</w:t>
      </w:r>
      <w:r w:rsidRPr="004530BB">
        <w:rPr>
          <w:b w:val="0"/>
          <w:bCs/>
          <w:color w:val="000000" w:themeColor="text1"/>
        </w:rPr>
        <w:t xml:space="preserve"> published in the Official Gazette dated </w:t>
      </w:r>
      <w:r w:rsidRPr="004530BB">
        <w:rPr>
          <w:rFonts w:cstheme="minorHAnsi"/>
          <w:b w:val="0"/>
          <w:bCs/>
          <w:color w:val="000000" w:themeColor="text1"/>
        </w:rPr>
        <w:t>18.12.2018</w:t>
      </w:r>
      <w:r w:rsidRPr="004530BB">
        <w:rPr>
          <w:b w:val="0"/>
          <w:bCs/>
          <w:color w:val="000000" w:themeColor="text1"/>
        </w:rPr>
        <w:t xml:space="preserve"> and numbered 30629 it is decided the apply the connecting-disconnecting fees in the table hereunder as of 01.01.19;</w:t>
      </w:r>
    </w:p>
    <w:p w:rsidR="00FE7FEB" w:rsidRDefault="00FE7FEB" w:rsidP="00FE7FEB">
      <w:pPr>
        <w:pStyle w:val="Balk4"/>
        <w:spacing w:before="0" w:after="120" w:line="240" w:lineRule="auto"/>
        <w:jc w:val="both"/>
        <w:rPr>
          <w:b w:val="0"/>
          <w:bCs/>
          <w:i/>
          <w:color w:val="000000" w:themeColor="text1"/>
        </w:rPr>
      </w:pPr>
      <w:bookmarkStart w:id="173" w:name="_Toc505346069"/>
      <w:bookmarkStart w:id="174" w:name="_Toc514251650"/>
    </w:p>
    <w:p w:rsidR="00FE7FEB" w:rsidRPr="00542DD6" w:rsidRDefault="00FE7FEB" w:rsidP="00542DD6">
      <w:pPr>
        <w:pStyle w:val="Balk5"/>
        <w:rPr>
          <w:rStyle w:val="Gl"/>
          <w:b/>
          <w:bCs w:val="0"/>
        </w:rPr>
      </w:pPr>
      <w:bookmarkStart w:id="175" w:name="_Toc505346186"/>
      <w:bookmarkStart w:id="176" w:name="_Toc512874150"/>
      <w:bookmarkStart w:id="177" w:name="_Toc12958494"/>
      <w:r w:rsidRPr="00542DD6">
        <w:rPr>
          <w:rStyle w:val="Gl"/>
          <w:b/>
          <w:bCs w:val="0"/>
        </w:rPr>
        <w:t xml:space="preserve">Table 4.13: </w:t>
      </w:r>
      <w:bookmarkEnd w:id="175"/>
      <w:bookmarkEnd w:id="176"/>
      <w:r w:rsidRPr="00542DD6">
        <w:rPr>
          <w:rStyle w:val="Gl"/>
          <w:b/>
          <w:bCs w:val="0"/>
        </w:rPr>
        <w:t>Connecting-Disconnecting Fees</w:t>
      </w:r>
      <w:bookmarkEnd w:id="17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FE7FEB" w:rsidRPr="00822B0A" w:rsidTr="00D816E6">
        <w:trPr>
          <w:jc w:val="center"/>
        </w:trPr>
        <w:tc>
          <w:tcPr>
            <w:tcW w:w="3314" w:type="dxa"/>
            <w:shd w:val="clear" w:color="auto" w:fill="6E9ECA"/>
            <w:hideMark/>
          </w:tcPr>
          <w:p w:rsidR="00FE7FEB" w:rsidRPr="00822B0A" w:rsidRDefault="00FE7FEB" w:rsidP="00D816E6">
            <w:pPr>
              <w:spacing w:after="0" w:line="240" w:lineRule="auto"/>
              <w:jc w:val="center"/>
              <w:rPr>
                <w:b/>
                <w:color w:val="FFFFFF" w:themeColor="background1"/>
              </w:rPr>
            </w:pPr>
            <w:r w:rsidRPr="00822B0A">
              <w:rPr>
                <w:b/>
                <w:color w:val="FFFFFF" w:themeColor="background1"/>
              </w:rPr>
              <w:t>Connection level</w:t>
            </w:r>
          </w:p>
        </w:tc>
        <w:tc>
          <w:tcPr>
            <w:tcW w:w="3202" w:type="dxa"/>
            <w:shd w:val="clear" w:color="auto" w:fill="6E9ECA"/>
            <w:hideMark/>
          </w:tcPr>
          <w:p w:rsidR="00FE7FEB" w:rsidRPr="00822B0A" w:rsidRDefault="00FE7FEB" w:rsidP="00D816E6">
            <w:pPr>
              <w:spacing w:after="0" w:line="240" w:lineRule="auto"/>
              <w:jc w:val="center"/>
              <w:rPr>
                <w:b/>
                <w:color w:val="FFFFFF" w:themeColor="background1"/>
              </w:rPr>
            </w:pPr>
            <w:r w:rsidRPr="00822B0A">
              <w:rPr>
                <w:b/>
                <w:color w:val="FFFFFF" w:themeColor="background1"/>
              </w:rPr>
              <w:t>Connecting-Disconnecting Fee (TL)</w:t>
            </w:r>
          </w:p>
        </w:tc>
      </w:tr>
      <w:tr w:rsidR="00FE7FEB" w:rsidRPr="00822B0A" w:rsidTr="00D816E6">
        <w:trPr>
          <w:jc w:val="center"/>
        </w:trPr>
        <w:tc>
          <w:tcPr>
            <w:tcW w:w="3314" w:type="dxa"/>
            <w:hideMark/>
          </w:tcPr>
          <w:p w:rsidR="00FE7FEB" w:rsidRPr="00822B0A" w:rsidRDefault="00FE7FEB" w:rsidP="00D816E6">
            <w:pPr>
              <w:spacing w:after="0" w:line="240" w:lineRule="auto"/>
              <w:jc w:val="both"/>
              <w:rPr>
                <w:color w:val="000000" w:themeColor="text1"/>
              </w:rPr>
            </w:pPr>
            <w:r w:rsidRPr="00822B0A">
              <w:rPr>
                <w:color w:val="000000" w:themeColor="text1"/>
              </w:rPr>
              <w:t>LV</w:t>
            </w:r>
          </w:p>
        </w:tc>
        <w:tc>
          <w:tcPr>
            <w:tcW w:w="3202" w:type="dxa"/>
            <w:hideMark/>
          </w:tcPr>
          <w:p w:rsidR="00FE7FEB" w:rsidRPr="00822B0A" w:rsidRDefault="00FE7FEB" w:rsidP="00D816E6">
            <w:pPr>
              <w:spacing w:after="0" w:line="240" w:lineRule="auto"/>
              <w:jc w:val="right"/>
              <w:rPr>
                <w:color w:val="000000" w:themeColor="text1"/>
              </w:rPr>
            </w:pPr>
            <w:r>
              <w:rPr>
                <w:color w:val="000000" w:themeColor="text1"/>
              </w:rPr>
              <w:t>33,8</w:t>
            </w:r>
          </w:p>
        </w:tc>
      </w:tr>
      <w:tr w:rsidR="00FE7FEB" w:rsidRPr="00822B0A" w:rsidTr="00D816E6">
        <w:trPr>
          <w:jc w:val="center"/>
        </w:trPr>
        <w:tc>
          <w:tcPr>
            <w:tcW w:w="3314" w:type="dxa"/>
            <w:hideMark/>
          </w:tcPr>
          <w:p w:rsidR="00FE7FEB" w:rsidRPr="00822B0A" w:rsidRDefault="00FE7FEB" w:rsidP="00D816E6">
            <w:pPr>
              <w:spacing w:after="0" w:line="240" w:lineRule="auto"/>
              <w:jc w:val="both"/>
              <w:rPr>
                <w:color w:val="000000" w:themeColor="text1"/>
              </w:rPr>
            </w:pPr>
            <w:r w:rsidRPr="00822B0A">
              <w:rPr>
                <w:color w:val="000000" w:themeColor="text1"/>
              </w:rPr>
              <w:t>MV</w:t>
            </w:r>
          </w:p>
        </w:tc>
        <w:tc>
          <w:tcPr>
            <w:tcW w:w="3202" w:type="dxa"/>
            <w:hideMark/>
          </w:tcPr>
          <w:p w:rsidR="00FE7FEB" w:rsidRPr="00822B0A" w:rsidRDefault="00FE7FEB" w:rsidP="00D816E6">
            <w:pPr>
              <w:spacing w:after="0" w:line="240" w:lineRule="auto"/>
              <w:jc w:val="right"/>
              <w:rPr>
                <w:color w:val="000000" w:themeColor="text1"/>
              </w:rPr>
            </w:pPr>
            <w:r>
              <w:rPr>
                <w:color w:val="000000" w:themeColor="text1"/>
              </w:rPr>
              <w:t>171,6</w:t>
            </w:r>
          </w:p>
        </w:tc>
      </w:tr>
    </w:tbl>
    <w:p w:rsidR="00FE7FEB" w:rsidRDefault="00FE7FEB" w:rsidP="00FE7FEB">
      <w:pPr>
        <w:pStyle w:val="Balk4"/>
        <w:spacing w:before="0" w:after="120" w:line="240" w:lineRule="auto"/>
        <w:jc w:val="both"/>
        <w:rPr>
          <w:b w:val="0"/>
          <w:bCs/>
          <w:i/>
          <w:color w:val="000000" w:themeColor="text1"/>
        </w:rPr>
      </w:pPr>
    </w:p>
    <w:p w:rsidR="00FE7FEB" w:rsidRPr="004530BB" w:rsidRDefault="00FE7FEB" w:rsidP="004530BB">
      <w:pPr>
        <w:pStyle w:val="Balk4"/>
      </w:pPr>
      <w:r w:rsidRPr="004530BB">
        <w:t>4.1.2.3.Security Deposit</w:t>
      </w:r>
      <w:bookmarkEnd w:id="173"/>
      <w:bookmarkEnd w:id="174"/>
    </w:p>
    <w:p w:rsidR="00FE7FEB" w:rsidRPr="004530BB" w:rsidRDefault="00FE7FEB" w:rsidP="00FE7FEB">
      <w:pPr>
        <w:pStyle w:val="Balk4"/>
        <w:spacing w:before="0" w:after="120" w:line="240" w:lineRule="auto"/>
        <w:jc w:val="both"/>
        <w:rPr>
          <w:b w:val="0"/>
          <w:bCs/>
          <w:iCs w:val="0"/>
          <w:color w:val="000000" w:themeColor="text1"/>
        </w:rPr>
      </w:pPr>
      <w:r w:rsidRPr="004530BB">
        <w:rPr>
          <w:b w:val="0"/>
          <w:bCs/>
          <w:iCs w:val="0"/>
          <w:color w:val="000000" w:themeColor="text1"/>
        </w:rPr>
        <w:t>As of 01.01.2019, it has been decided to apply the security deposit stated in Table 4.14 with the Board Decision dated 13.12.2018 and numbered 8252-6 published in the Official Gazette No. 30629 dated 18.12.2018</w:t>
      </w:r>
    </w:p>
    <w:p w:rsidR="00FE7FEB" w:rsidRPr="00542DD6" w:rsidRDefault="00FE7FEB" w:rsidP="00542DD6">
      <w:pPr>
        <w:pStyle w:val="Balk5"/>
      </w:pPr>
      <w:bookmarkStart w:id="178" w:name="_Toc505346187"/>
      <w:bookmarkStart w:id="179" w:name="_Toc512874151"/>
      <w:bookmarkStart w:id="180" w:name="_Toc12958495"/>
      <w:r w:rsidRPr="00542DD6">
        <w:rPr>
          <w:rStyle w:val="Gl"/>
          <w:b/>
          <w:bCs w:val="0"/>
        </w:rPr>
        <w:t xml:space="preserve">Table 4.14: </w:t>
      </w:r>
      <w:bookmarkEnd w:id="178"/>
      <w:bookmarkEnd w:id="179"/>
      <w:r w:rsidRPr="00542DD6">
        <w:rPr>
          <w:rStyle w:val="Gl"/>
          <w:b/>
          <w:bCs w:val="0"/>
        </w:rPr>
        <w:t>Security Deposits</w:t>
      </w:r>
      <w:bookmarkEnd w:id="180"/>
    </w:p>
    <w:tbl>
      <w:tblPr>
        <w:tblpPr w:leftFromText="141" w:rightFromText="141" w:vertAnchor="text" w:horzAnchor="margin" w:tblpXSpec="center" w:tblpY="124"/>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FE7FEB" w:rsidTr="00D816E6">
        <w:trPr>
          <w:trHeight w:val="377"/>
        </w:trPr>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jc w:val="center"/>
              <w:rPr>
                <w:b/>
                <w:color w:val="FFFFFF" w:themeColor="background1"/>
                <w:lang w:val="tr-TR"/>
              </w:rPr>
            </w:pPr>
            <w:r w:rsidRPr="00822B0A">
              <w:rPr>
                <w:b/>
                <w:color w:val="FFFFFF" w:themeColor="background1"/>
              </w:rPr>
              <w:t>Subscriber Groups</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jc w:val="center"/>
              <w:rPr>
                <w:b/>
                <w:color w:val="FFFFFF" w:themeColor="background1"/>
              </w:rPr>
            </w:pPr>
            <w:r w:rsidRPr="00822B0A">
              <w:rPr>
                <w:b/>
                <w:color w:val="FFFFFF" w:themeColor="background1"/>
              </w:rPr>
              <w:t>Security Deposit Cost (TL/kW)</w:t>
            </w:r>
          </w:p>
        </w:tc>
      </w:tr>
      <w:tr w:rsidR="00FE7FEB" w:rsidTr="00D816E6">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jc w:val="both"/>
              <w:rPr>
                <w:color w:val="000000" w:themeColor="text1"/>
              </w:rPr>
            </w:pPr>
            <w:r w:rsidRPr="00822B0A">
              <w:rPr>
                <w:color w:val="000000" w:themeColor="text1"/>
              </w:rPr>
              <w:t>Industrial and Commercial</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jc w:val="center"/>
              <w:rPr>
                <w:color w:val="000000" w:themeColor="text1"/>
                <w:highlight w:val="yellow"/>
              </w:rPr>
            </w:pPr>
            <w:r>
              <w:rPr>
                <w:color w:val="000000" w:themeColor="text1"/>
              </w:rPr>
              <w:t>84,8</w:t>
            </w:r>
          </w:p>
        </w:tc>
      </w:tr>
      <w:tr w:rsidR="00FE7FEB" w:rsidTr="00D816E6">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jc w:val="both"/>
              <w:rPr>
                <w:color w:val="000000" w:themeColor="text1"/>
              </w:rPr>
            </w:pPr>
            <w:r w:rsidRPr="00822B0A">
              <w:rPr>
                <w:color w:val="000000" w:themeColor="text1"/>
              </w:rPr>
              <w:t>Household</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jc w:val="center"/>
              <w:rPr>
                <w:color w:val="000000" w:themeColor="text1"/>
              </w:rPr>
            </w:pPr>
            <w:r>
              <w:rPr>
                <w:color w:val="000000" w:themeColor="text1"/>
              </w:rPr>
              <w:t>29,8</w:t>
            </w:r>
          </w:p>
        </w:tc>
      </w:tr>
      <w:tr w:rsidR="00FE7FEB" w:rsidTr="00D816E6">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jc w:val="both"/>
              <w:rPr>
                <w:color w:val="000000" w:themeColor="text1"/>
              </w:rPr>
            </w:pPr>
            <w:r w:rsidRPr="00822B0A">
              <w:rPr>
                <w:color w:val="000000" w:themeColor="text1"/>
              </w:rPr>
              <w:t>Families of Martyrs and war veterans</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jc w:val="center"/>
              <w:rPr>
                <w:color w:val="000000" w:themeColor="text1"/>
              </w:rPr>
            </w:pPr>
            <w:r>
              <w:rPr>
                <w:color w:val="000000" w:themeColor="text1"/>
              </w:rPr>
              <w:t>14,9</w:t>
            </w:r>
          </w:p>
        </w:tc>
      </w:tr>
      <w:tr w:rsidR="00FE7FEB" w:rsidTr="00D816E6">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7A0161" w:rsidRDefault="00FE7FEB" w:rsidP="00D816E6">
            <w:pPr>
              <w:spacing w:after="0"/>
              <w:jc w:val="both"/>
              <w:rPr>
                <w:color w:val="000000" w:themeColor="text1"/>
              </w:rPr>
            </w:pPr>
            <w:r w:rsidRPr="00822B0A">
              <w:rPr>
                <w:color w:val="000000" w:themeColor="text1"/>
              </w:rPr>
              <w:t>Agricultural irrigation, lighting and others</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jc w:val="center"/>
              <w:rPr>
                <w:color w:val="000000" w:themeColor="text1"/>
              </w:rPr>
            </w:pPr>
            <w:r>
              <w:rPr>
                <w:color w:val="000000" w:themeColor="text1"/>
              </w:rPr>
              <w:t>40,2</w:t>
            </w:r>
          </w:p>
        </w:tc>
      </w:tr>
    </w:tbl>
    <w:p w:rsidR="00FE7FEB" w:rsidRDefault="00FE7FEB" w:rsidP="00FE7FEB">
      <w:pPr>
        <w:pStyle w:val="Balk4"/>
        <w:spacing w:before="0" w:after="120" w:line="240" w:lineRule="auto"/>
        <w:jc w:val="both"/>
        <w:rPr>
          <w:b w:val="0"/>
          <w:bCs/>
          <w:i/>
          <w:color w:val="000000" w:themeColor="text1"/>
        </w:rPr>
      </w:pPr>
    </w:p>
    <w:p w:rsidR="00FE7FEB" w:rsidRDefault="00FE7FEB" w:rsidP="00FE7FEB">
      <w:pPr>
        <w:pStyle w:val="Balk4"/>
        <w:spacing w:before="0" w:after="120" w:line="240" w:lineRule="auto"/>
        <w:jc w:val="both"/>
        <w:rPr>
          <w:b w:val="0"/>
          <w:bCs/>
          <w:i/>
          <w:color w:val="000000" w:themeColor="text1"/>
        </w:rPr>
      </w:pPr>
    </w:p>
    <w:p w:rsidR="00FE7FEB" w:rsidRDefault="00FE7FEB" w:rsidP="00FE7FEB">
      <w:pPr>
        <w:pStyle w:val="Balk4"/>
        <w:spacing w:before="0" w:after="120" w:line="240" w:lineRule="auto"/>
        <w:jc w:val="both"/>
        <w:rPr>
          <w:b w:val="0"/>
          <w:bCs/>
          <w:i/>
          <w:color w:val="000000" w:themeColor="text1"/>
        </w:rPr>
      </w:pPr>
    </w:p>
    <w:p w:rsidR="00FE7FEB" w:rsidRDefault="00FE7FEB" w:rsidP="00FE7FEB">
      <w:pPr>
        <w:pStyle w:val="Balk4"/>
        <w:spacing w:before="0" w:after="120" w:line="240" w:lineRule="auto"/>
        <w:jc w:val="both"/>
        <w:rPr>
          <w:b w:val="0"/>
          <w:bCs/>
          <w:i/>
          <w:color w:val="000000" w:themeColor="text1"/>
        </w:rPr>
      </w:pPr>
    </w:p>
    <w:p w:rsidR="00FE7FEB" w:rsidRDefault="00FE7FEB" w:rsidP="00FE7FEB">
      <w:pPr>
        <w:pStyle w:val="Balk4"/>
        <w:spacing w:before="0" w:after="120" w:line="240" w:lineRule="auto"/>
        <w:jc w:val="both"/>
        <w:rPr>
          <w:b w:val="0"/>
          <w:bCs/>
          <w:i/>
          <w:color w:val="000000" w:themeColor="text1"/>
        </w:rPr>
      </w:pPr>
    </w:p>
    <w:p w:rsidR="00FE7FEB" w:rsidRDefault="00FE7FEB" w:rsidP="00FE7FEB">
      <w:pPr>
        <w:pStyle w:val="Balk4"/>
        <w:spacing w:before="0" w:after="120" w:line="240" w:lineRule="auto"/>
        <w:jc w:val="both"/>
        <w:rPr>
          <w:b w:val="0"/>
          <w:bCs/>
          <w:i/>
          <w:color w:val="000000" w:themeColor="text1"/>
        </w:rPr>
      </w:pPr>
    </w:p>
    <w:p w:rsidR="00FE7FEB" w:rsidRPr="007A0161" w:rsidRDefault="00FE7FEB" w:rsidP="00FE7FEB"/>
    <w:p w:rsidR="00FE7FEB" w:rsidRPr="004530BB" w:rsidRDefault="00FE7FEB" w:rsidP="004530BB">
      <w:pPr>
        <w:pStyle w:val="Balk4"/>
      </w:pPr>
      <w:r w:rsidRPr="004530BB">
        <w:t>4.1.2.4.Meter Control Fees</w:t>
      </w:r>
    </w:p>
    <w:p w:rsidR="00FE7FEB" w:rsidRPr="00E86164" w:rsidRDefault="00FE7FEB" w:rsidP="00FE7FEB">
      <w:pPr>
        <w:spacing w:after="120" w:line="240" w:lineRule="auto"/>
        <w:jc w:val="both"/>
        <w:rPr>
          <w:color w:val="000000" w:themeColor="text1"/>
        </w:rPr>
      </w:pPr>
      <w:r w:rsidRPr="00822B0A">
        <w:rPr>
          <w:color w:val="000000" w:themeColor="text1"/>
        </w:rPr>
        <w:t xml:space="preserve">With the Board Decision dated </w:t>
      </w:r>
      <w:r>
        <w:rPr>
          <w:color w:val="000000" w:themeColor="text1"/>
        </w:rPr>
        <w:t xml:space="preserve">13.12.2018 </w:t>
      </w:r>
      <w:r w:rsidRPr="00822B0A">
        <w:rPr>
          <w:color w:val="000000" w:themeColor="text1"/>
        </w:rPr>
        <w:t xml:space="preserve">and numbered </w:t>
      </w:r>
      <w:r>
        <w:rPr>
          <w:color w:val="000000" w:themeColor="text1"/>
        </w:rPr>
        <w:t xml:space="preserve">8252-8 </w:t>
      </w:r>
      <w:r w:rsidRPr="00822B0A">
        <w:rPr>
          <w:color w:val="000000" w:themeColor="text1"/>
        </w:rPr>
        <w:t xml:space="preserve">published in the Official Gazette dated </w:t>
      </w:r>
      <w:r>
        <w:rPr>
          <w:color w:val="000000" w:themeColor="text1"/>
        </w:rPr>
        <w:t xml:space="preserve">18.12.2018 </w:t>
      </w:r>
      <w:r w:rsidRPr="00822B0A">
        <w:rPr>
          <w:color w:val="000000" w:themeColor="text1"/>
        </w:rPr>
        <w:t xml:space="preserve">and numbered </w:t>
      </w:r>
      <w:r>
        <w:rPr>
          <w:color w:val="000000" w:themeColor="text1"/>
        </w:rPr>
        <w:t xml:space="preserve">30629 </w:t>
      </w:r>
      <w:r w:rsidRPr="00822B0A">
        <w:rPr>
          <w:color w:val="000000" w:themeColor="text1"/>
        </w:rPr>
        <w:t xml:space="preserve">it is decided to apply the meter control fees in the table hereunder as of </w:t>
      </w:r>
      <w:r>
        <w:rPr>
          <w:color w:val="000000" w:themeColor="text1"/>
        </w:rPr>
        <w:t>01.01.2019</w:t>
      </w:r>
      <w:bookmarkEnd w:id="102"/>
      <w:bookmarkEnd w:id="103"/>
    </w:p>
    <w:p w:rsidR="00FE7FEB" w:rsidRPr="00542DD6" w:rsidRDefault="00FE7FEB" w:rsidP="00542DD6">
      <w:pPr>
        <w:pStyle w:val="Balk5"/>
        <w:rPr>
          <w:rStyle w:val="Gl"/>
          <w:b/>
          <w:bCs w:val="0"/>
        </w:rPr>
      </w:pPr>
      <w:bookmarkStart w:id="181" w:name="_Toc505346188"/>
      <w:bookmarkStart w:id="182" w:name="_Toc512874152"/>
      <w:bookmarkStart w:id="183" w:name="_Toc12958496"/>
      <w:r w:rsidRPr="00542DD6">
        <w:rPr>
          <w:rStyle w:val="Gl"/>
          <w:b/>
          <w:bCs w:val="0"/>
        </w:rPr>
        <w:t xml:space="preserve">Table 4.15: </w:t>
      </w:r>
      <w:bookmarkEnd w:id="181"/>
      <w:bookmarkEnd w:id="182"/>
      <w:r w:rsidRPr="00542DD6">
        <w:rPr>
          <w:rStyle w:val="Gl"/>
          <w:b/>
          <w:bCs w:val="0"/>
        </w:rPr>
        <w:t>Meter Control Fees</w:t>
      </w:r>
      <w:bookmarkEnd w:id="183"/>
    </w:p>
    <w:tbl>
      <w:tblPr>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FE7FEB" w:rsidRPr="00822B0A" w:rsidTr="00D816E6">
        <w:trPr>
          <w:jc w:val="center"/>
        </w:trPr>
        <w:tc>
          <w:tcPr>
            <w:tcW w:w="6516" w:type="dxa"/>
            <w:shd w:val="clear" w:color="auto" w:fill="6E9ECA"/>
            <w:vAlign w:val="center"/>
          </w:tcPr>
          <w:p w:rsidR="00FE7FEB" w:rsidRPr="00822B0A" w:rsidRDefault="00FE7FEB" w:rsidP="00D816E6">
            <w:pPr>
              <w:tabs>
                <w:tab w:val="left" w:pos="6828"/>
              </w:tabs>
              <w:jc w:val="center"/>
              <w:rPr>
                <w:b/>
                <w:color w:val="FFFFFF" w:themeColor="background1"/>
              </w:rPr>
            </w:pPr>
            <w:r w:rsidRPr="00822B0A">
              <w:rPr>
                <w:b/>
                <w:color w:val="FFFFFF" w:themeColor="background1"/>
              </w:rPr>
              <w:t>Type of meter</w:t>
            </w:r>
          </w:p>
        </w:tc>
        <w:tc>
          <w:tcPr>
            <w:tcW w:w="2839" w:type="dxa"/>
            <w:shd w:val="clear" w:color="auto" w:fill="6E9ECA"/>
            <w:vAlign w:val="center"/>
          </w:tcPr>
          <w:p w:rsidR="00FE7FEB" w:rsidRPr="00822B0A" w:rsidRDefault="00FE7FEB" w:rsidP="00D816E6">
            <w:pPr>
              <w:tabs>
                <w:tab w:val="left" w:pos="6828"/>
              </w:tabs>
              <w:jc w:val="center"/>
              <w:rPr>
                <w:b/>
                <w:color w:val="FFFFFF" w:themeColor="background1"/>
              </w:rPr>
            </w:pPr>
            <w:r w:rsidRPr="00822B0A">
              <w:rPr>
                <w:b/>
                <w:color w:val="FFFFFF" w:themeColor="background1"/>
              </w:rPr>
              <w:t>Meter Control Fee (TL)</w:t>
            </w:r>
          </w:p>
        </w:tc>
      </w:tr>
      <w:tr w:rsidR="00FE7FEB" w:rsidRPr="00822B0A" w:rsidTr="00D816E6">
        <w:trPr>
          <w:jc w:val="center"/>
        </w:trPr>
        <w:tc>
          <w:tcPr>
            <w:tcW w:w="6516" w:type="dxa"/>
          </w:tcPr>
          <w:p w:rsidR="00FE7FEB" w:rsidRPr="00822B0A" w:rsidRDefault="00FE7FEB" w:rsidP="00D816E6">
            <w:pPr>
              <w:tabs>
                <w:tab w:val="left" w:pos="6828"/>
              </w:tabs>
              <w:jc w:val="both"/>
            </w:pPr>
            <w:r w:rsidRPr="00822B0A">
              <w:t>Directly connected single phase active or triple phase active and/or reactive meters</w:t>
            </w:r>
          </w:p>
        </w:tc>
        <w:tc>
          <w:tcPr>
            <w:tcW w:w="2839" w:type="dxa"/>
          </w:tcPr>
          <w:p w:rsidR="00FE7FEB" w:rsidRPr="00822B0A" w:rsidRDefault="00FE7FEB" w:rsidP="00D816E6">
            <w:pPr>
              <w:tabs>
                <w:tab w:val="left" w:pos="6828"/>
              </w:tabs>
              <w:jc w:val="center"/>
            </w:pPr>
            <w:r>
              <w:t>22,1</w:t>
            </w:r>
          </w:p>
        </w:tc>
      </w:tr>
      <w:tr w:rsidR="00FE7FEB" w:rsidRPr="00822B0A" w:rsidTr="00D816E6">
        <w:trPr>
          <w:jc w:val="center"/>
        </w:trPr>
        <w:tc>
          <w:tcPr>
            <w:tcW w:w="6516" w:type="dxa"/>
          </w:tcPr>
          <w:p w:rsidR="00FE7FEB" w:rsidRPr="00822B0A" w:rsidRDefault="00FE7FEB" w:rsidP="00D816E6">
            <w:pPr>
              <w:tabs>
                <w:tab w:val="left" w:pos="6828"/>
              </w:tabs>
              <w:jc w:val="both"/>
            </w:pPr>
            <w:r w:rsidRPr="00822B0A">
              <w:t>Active and/or reactive meters with current and/or voltage transformer</w:t>
            </w:r>
          </w:p>
        </w:tc>
        <w:tc>
          <w:tcPr>
            <w:tcW w:w="2839" w:type="dxa"/>
          </w:tcPr>
          <w:p w:rsidR="00FE7FEB" w:rsidRPr="00822B0A" w:rsidRDefault="00FE7FEB" w:rsidP="00D816E6">
            <w:pPr>
              <w:tabs>
                <w:tab w:val="left" w:pos="6828"/>
              </w:tabs>
              <w:jc w:val="center"/>
            </w:pPr>
            <w:r>
              <w:t>27,9</w:t>
            </w:r>
          </w:p>
        </w:tc>
      </w:tr>
    </w:tbl>
    <w:p w:rsidR="00FE7FEB" w:rsidRPr="00822B0A" w:rsidRDefault="00FE7FEB" w:rsidP="00FE7FEB">
      <w:pPr>
        <w:spacing w:after="120" w:line="240" w:lineRule="auto"/>
        <w:jc w:val="both"/>
      </w:pPr>
    </w:p>
    <w:p w:rsidR="00FE7FEB" w:rsidRPr="00822B0A" w:rsidRDefault="00FE7FEB" w:rsidP="00FE7FEB">
      <w:pPr>
        <w:spacing w:after="120" w:line="240" w:lineRule="auto"/>
        <w:jc w:val="both"/>
      </w:pPr>
      <w:r w:rsidRPr="00822B0A">
        <w:t>In addition to the aforementioned arrrangements;</w:t>
      </w:r>
    </w:p>
    <w:p w:rsidR="00FE7FEB" w:rsidRDefault="00FE7FEB" w:rsidP="00FE7FEB">
      <w:pPr>
        <w:tabs>
          <w:tab w:val="left" w:pos="6828"/>
        </w:tabs>
        <w:spacing w:after="120" w:line="240" w:lineRule="auto"/>
        <w:jc w:val="both"/>
      </w:pPr>
      <w:r w:rsidRPr="00822B0A">
        <w:t xml:space="preserve">- With the Board Decision dated </w:t>
      </w:r>
      <w:r>
        <w:t xml:space="preserve">13.12.2018 </w:t>
      </w:r>
      <w:r w:rsidRPr="00822B0A">
        <w:t xml:space="preserve">and numbered </w:t>
      </w:r>
      <w:r>
        <w:t xml:space="preserve">8252-12 </w:t>
      </w:r>
      <w:r w:rsidRPr="00822B0A">
        <w:t xml:space="preserve">published in the Official Gazette dated </w:t>
      </w:r>
      <w:r>
        <w:t xml:space="preserve">18.12.2018 </w:t>
      </w:r>
      <w:r w:rsidRPr="00822B0A">
        <w:t xml:space="preserve">and numbered </w:t>
      </w:r>
      <w:r>
        <w:t>30629</w:t>
      </w:r>
      <w:r w:rsidRPr="00822B0A">
        <w:t xml:space="preserve"> the application fees for exempted generation for 201</w:t>
      </w:r>
      <w:r>
        <w:t>9</w:t>
      </w:r>
      <w:r w:rsidRPr="00822B0A">
        <w:t xml:space="preserve"> collectible from the network operator as per the Art.31 of the Regulation on Exempted Generation in the Electricity Market are determined as follows;  .</w:t>
      </w:r>
    </w:p>
    <w:p w:rsidR="00FE7FEB" w:rsidRDefault="00FE7FEB" w:rsidP="00FE7FEB"/>
    <w:p w:rsidR="00FE7FEB" w:rsidRPr="00542DD6" w:rsidRDefault="00FE7FEB" w:rsidP="00542DD6">
      <w:pPr>
        <w:pStyle w:val="Balk5"/>
        <w:rPr>
          <w:rStyle w:val="Gl"/>
          <w:b/>
          <w:bCs w:val="0"/>
        </w:rPr>
      </w:pPr>
      <w:bookmarkStart w:id="184" w:name="_Toc505346189"/>
      <w:bookmarkStart w:id="185" w:name="_Toc512874153"/>
      <w:bookmarkStart w:id="186" w:name="_Toc12958497"/>
      <w:r w:rsidRPr="00542DD6">
        <w:rPr>
          <w:rStyle w:val="Gl"/>
          <w:b/>
          <w:bCs w:val="0"/>
        </w:rPr>
        <w:t>Table 4.16: Exempted Generation Application Fee</w:t>
      </w:r>
      <w:bookmarkEnd w:id="184"/>
      <w:bookmarkEnd w:id="185"/>
      <w:bookmarkEnd w:id="186"/>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7FEB" w:rsidRPr="00822B0A" w:rsidTr="00D816E6">
        <w:trPr>
          <w:jc w:val="center"/>
        </w:trPr>
        <w:tc>
          <w:tcPr>
            <w:tcW w:w="3789" w:type="dxa"/>
            <w:shd w:val="clear" w:color="auto" w:fill="6E9ECA"/>
            <w:vAlign w:val="center"/>
          </w:tcPr>
          <w:p w:rsidR="00FE7FEB" w:rsidRPr="00822B0A" w:rsidRDefault="00FE7FEB" w:rsidP="00D816E6">
            <w:pPr>
              <w:tabs>
                <w:tab w:val="left" w:pos="6828"/>
              </w:tabs>
              <w:jc w:val="center"/>
              <w:rPr>
                <w:b/>
                <w:color w:val="FFFFFF" w:themeColor="background1"/>
              </w:rPr>
            </w:pPr>
            <w:r w:rsidRPr="00822B0A">
              <w:rPr>
                <w:b/>
                <w:color w:val="FFFFFF" w:themeColor="background1"/>
              </w:rPr>
              <w:t>Installed Capacity</w:t>
            </w:r>
          </w:p>
        </w:tc>
        <w:tc>
          <w:tcPr>
            <w:tcW w:w="3724" w:type="dxa"/>
            <w:shd w:val="clear" w:color="auto" w:fill="6E9ECA"/>
            <w:vAlign w:val="center"/>
          </w:tcPr>
          <w:p w:rsidR="00FE7FEB" w:rsidRPr="00822B0A" w:rsidRDefault="00FE7FEB" w:rsidP="00D816E6">
            <w:pPr>
              <w:tabs>
                <w:tab w:val="left" w:pos="6828"/>
              </w:tabs>
              <w:jc w:val="center"/>
              <w:rPr>
                <w:b/>
                <w:color w:val="FFFFFF" w:themeColor="background1"/>
              </w:rPr>
            </w:pPr>
            <w:r w:rsidRPr="00822B0A">
              <w:rPr>
                <w:b/>
                <w:color w:val="FFFFFF" w:themeColor="background1"/>
              </w:rPr>
              <w:t>Application fee (TL)</w:t>
            </w:r>
          </w:p>
        </w:tc>
      </w:tr>
      <w:tr w:rsidR="00FE7FEB" w:rsidRPr="00822B0A" w:rsidTr="00D816E6">
        <w:trPr>
          <w:jc w:val="center"/>
        </w:trPr>
        <w:tc>
          <w:tcPr>
            <w:tcW w:w="3789" w:type="dxa"/>
          </w:tcPr>
          <w:p w:rsidR="00FE7FEB" w:rsidRPr="00822B0A" w:rsidRDefault="00FE7FEB" w:rsidP="00D816E6">
            <w:pPr>
              <w:tabs>
                <w:tab w:val="left" w:pos="6828"/>
              </w:tabs>
              <w:jc w:val="both"/>
            </w:pPr>
            <w:r w:rsidRPr="00822B0A">
              <w:t>0-250 kW (included)</w:t>
            </w:r>
          </w:p>
        </w:tc>
        <w:tc>
          <w:tcPr>
            <w:tcW w:w="3724" w:type="dxa"/>
          </w:tcPr>
          <w:p w:rsidR="00FE7FEB" w:rsidRPr="00822B0A" w:rsidRDefault="00FE7FEB" w:rsidP="00D816E6">
            <w:pPr>
              <w:tabs>
                <w:tab w:val="left" w:pos="6828"/>
              </w:tabs>
              <w:jc w:val="right"/>
            </w:pPr>
            <w:r w:rsidRPr="00822B0A">
              <w:t>0</w:t>
            </w:r>
          </w:p>
        </w:tc>
      </w:tr>
      <w:tr w:rsidR="00FE7FEB" w:rsidRPr="00822B0A" w:rsidTr="00D816E6">
        <w:trPr>
          <w:jc w:val="center"/>
        </w:trPr>
        <w:tc>
          <w:tcPr>
            <w:tcW w:w="3789" w:type="dxa"/>
          </w:tcPr>
          <w:p w:rsidR="00FE7FEB" w:rsidRPr="00822B0A" w:rsidRDefault="00FE7FEB" w:rsidP="00D816E6">
            <w:pPr>
              <w:tabs>
                <w:tab w:val="left" w:pos="6828"/>
              </w:tabs>
              <w:jc w:val="both"/>
            </w:pPr>
            <w:r w:rsidRPr="00822B0A">
              <w:t xml:space="preserve">More than 250 kW </w:t>
            </w:r>
          </w:p>
        </w:tc>
        <w:tc>
          <w:tcPr>
            <w:tcW w:w="3724" w:type="dxa"/>
          </w:tcPr>
          <w:p w:rsidR="00FE7FEB" w:rsidRPr="00822B0A" w:rsidRDefault="00FE7FEB" w:rsidP="00D816E6">
            <w:pPr>
              <w:tabs>
                <w:tab w:val="left" w:pos="6828"/>
              </w:tabs>
              <w:jc w:val="right"/>
            </w:pPr>
            <w:r>
              <w:t>751,55</w:t>
            </w:r>
          </w:p>
        </w:tc>
      </w:tr>
    </w:tbl>
    <w:p w:rsidR="00FE7FEB" w:rsidRPr="00822B0A" w:rsidRDefault="00FE7FEB" w:rsidP="00FE7FEB">
      <w:pPr>
        <w:tabs>
          <w:tab w:val="left" w:pos="6828"/>
        </w:tabs>
        <w:spacing w:after="0"/>
        <w:jc w:val="both"/>
      </w:pPr>
    </w:p>
    <w:p w:rsidR="00FE7FEB" w:rsidRPr="00822B0A" w:rsidRDefault="00FE7FEB" w:rsidP="00FE7FEB">
      <w:pPr>
        <w:spacing w:after="120" w:line="240" w:lineRule="auto"/>
        <w:jc w:val="both"/>
      </w:pPr>
      <w:r w:rsidRPr="00822B0A">
        <w:t xml:space="preserve">- </w:t>
      </w:r>
      <w:r>
        <w:t>Wi</w:t>
      </w:r>
      <w:r w:rsidRPr="00822B0A">
        <w:t xml:space="preserve">th the Board Decision dated </w:t>
      </w:r>
      <w:r>
        <w:t xml:space="preserve">13.12.2018 </w:t>
      </w:r>
      <w:r w:rsidRPr="00822B0A">
        <w:t xml:space="preserve">and numbered </w:t>
      </w:r>
      <w:r>
        <w:t xml:space="preserve">8252-13 </w:t>
      </w:r>
      <w:r w:rsidRPr="00822B0A">
        <w:t xml:space="preserve">published in the Official Gazette dated </w:t>
      </w:r>
      <w:r>
        <w:t xml:space="preserve">18.12.2018 </w:t>
      </w:r>
      <w:r w:rsidRPr="00822B0A">
        <w:t>and numbered</w:t>
      </w:r>
      <w:r w:rsidRPr="00F9473D">
        <w:t xml:space="preserve"> </w:t>
      </w:r>
      <w:r>
        <w:t>30629</w:t>
      </w:r>
      <w:r w:rsidRPr="00822B0A">
        <w:t xml:space="preserve"> the annual operational cost to be colected by the assigned supplier compa</w:t>
      </w:r>
      <w:r>
        <w:t>n</w:t>
      </w:r>
      <w:r w:rsidRPr="00822B0A">
        <w:t>y in 201</w:t>
      </w:r>
      <w:r>
        <w:t>9</w:t>
      </w:r>
      <w:r w:rsidRPr="00822B0A">
        <w:t xml:space="preserve"> as per the Art.31 of the Exempted Electricity Generation in the Electricity Market Regulation is determined as follows;</w:t>
      </w:r>
    </w:p>
    <w:p w:rsidR="00FE7FEB" w:rsidRDefault="00FE7FEB" w:rsidP="00FE7FEB"/>
    <w:p w:rsidR="00FE7FEB" w:rsidRPr="00542DD6" w:rsidRDefault="00FE7FEB" w:rsidP="00542DD6">
      <w:pPr>
        <w:pStyle w:val="Balk5"/>
      </w:pPr>
      <w:bookmarkStart w:id="187" w:name="_Toc505346190"/>
      <w:bookmarkStart w:id="188" w:name="_Toc512874154"/>
      <w:bookmarkStart w:id="189" w:name="_Toc12958498"/>
      <w:r w:rsidRPr="00542DD6">
        <w:rPr>
          <w:rStyle w:val="Gl"/>
          <w:b/>
          <w:bCs w:val="0"/>
        </w:rPr>
        <w:t>Table 4.17: Exempted Generation Operational Cost</w:t>
      </w:r>
      <w:bookmarkEnd w:id="187"/>
      <w:r w:rsidRPr="00542DD6">
        <w:rPr>
          <w:rStyle w:val="Gl"/>
          <w:b/>
          <w:bCs w:val="0"/>
        </w:rPr>
        <w:t xml:space="preserve"> (Assigned Supplier Companies)</w:t>
      </w:r>
      <w:bookmarkEnd w:id="188"/>
      <w:bookmarkEnd w:id="18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7FEB" w:rsidRPr="00822B0A" w:rsidTr="00D816E6">
        <w:trPr>
          <w:jc w:val="center"/>
        </w:trPr>
        <w:tc>
          <w:tcPr>
            <w:tcW w:w="3789" w:type="dxa"/>
            <w:shd w:val="clear" w:color="auto" w:fill="6E9ECA"/>
            <w:vAlign w:val="center"/>
          </w:tcPr>
          <w:p w:rsidR="00FE7FEB" w:rsidRPr="00822B0A" w:rsidRDefault="00FE7FEB" w:rsidP="00D816E6">
            <w:pPr>
              <w:tabs>
                <w:tab w:val="left" w:pos="6828"/>
              </w:tabs>
              <w:jc w:val="center"/>
              <w:rPr>
                <w:b/>
                <w:color w:val="FFFFFF" w:themeColor="background1"/>
              </w:rPr>
            </w:pPr>
            <w:r w:rsidRPr="00822B0A">
              <w:rPr>
                <w:b/>
                <w:color w:val="FFFFFF" w:themeColor="background1"/>
              </w:rPr>
              <w:t>Installed Capacity</w:t>
            </w:r>
          </w:p>
        </w:tc>
        <w:tc>
          <w:tcPr>
            <w:tcW w:w="3724" w:type="dxa"/>
            <w:shd w:val="clear" w:color="auto" w:fill="6E9ECA"/>
            <w:vAlign w:val="center"/>
          </w:tcPr>
          <w:p w:rsidR="00FE7FEB" w:rsidRPr="00822B0A" w:rsidRDefault="00FE7FEB" w:rsidP="00D816E6">
            <w:pPr>
              <w:tabs>
                <w:tab w:val="left" w:pos="6828"/>
              </w:tabs>
              <w:jc w:val="center"/>
              <w:rPr>
                <w:b/>
                <w:color w:val="FFFFFF" w:themeColor="background1"/>
              </w:rPr>
            </w:pPr>
            <w:r w:rsidRPr="00822B0A">
              <w:rPr>
                <w:b/>
                <w:color w:val="FFFFFF" w:themeColor="background1"/>
              </w:rPr>
              <w:t>Operation cost (TL/year)</w:t>
            </w:r>
          </w:p>
        </w:tc>
      </w:tr>
      <w:tr w:rsidR="00FE7FEB" w:rsidRPr="00822B0A" w:rsidTr="00D816E6">
        <w:trPr>
          <w:jc w:val="center"/>
        </w:trPr>
        <w:tc>
          <w:tcPr>
            <w:tcW w:w="3789" w:type="dxa"/>
          </w:tcPr>
          <w:p w:rsidR="00FE7FEB" w:rsidRPr="00822B0A" w:rsidRDefault="00FE7FEB" w:rsidP="00D816E6">
            <w:pPr>
              <w:tabs>
                <w:tab w:val="left" w:pos="6828"/>
              </w:tabs>
              <w:jc w:val="both"/>
            </w:pPr>
            <w:r w:rsidRPr="00822B0A">
              <w:t>0-250 kW (included)</w:t>
            </w:r>
          </w:p>
        </w:tc>
        <w:tc>
          <w:tcPr>
            <w:tcW w:w="3724" w:type="dxa"/>
          </w:tcPr>
          <w:p w:rsidR="00FE7FEB" w:rsidRPr="00822B0A" w:rsidRDefault="00FE7FEB" w:rsidP="00D816E6">
            <w:pPr>
              <w:tabs>
                <w:tab w:val="left" w:pos="6828"/>
              </w:tabs>
              <w:jc w:val="right"/>
            </w:pPr>
            <w:r w:rsidRPr="00822B0A">
              <w:t>0</w:t>
            </w:r>
          </w:p>
        </w:tc>
      </w:tr>
      <w:tr w:rsidR="00FE7FEB" w:rsidRPr="00822B0A" w:rsidTr="00D816E6">
        <w:trPr>
          <w:jc w:val="center"/>
        </w:trPr>
        <w:tc>
          <w:tcPr>
            <w:tcW w:w="3789" w:type="dxa"/>
          </w:tcPr>
          <w:p w:rsidR="00FE7FEB" w:rsidRPr="00822B0A" w:rsidRDefault="00FE7FEB" w:rsidP="00D816E6">
            <w:pPr>
              <w:tabs>
                <w:tab w:val="left" w:pos="6828"/>
              </w:tabs>
              <w:jc w:val="both"/>
            </w:pPr>
            <w:r w:rsidRPr="00822B0A">
              <w:t xml:space="preserve">More than 250 kW </w:t>
            </w:r>
          </w:p>
        </w:tc>
        <w:tc>
          <w:tcPr>
            <w:tcW w:w="3724" w:type="dxa"/>
          </w:tcPr>
          <w:p w:rsidR="00FE7FEB" w:rsidRPr="00822B0A" w:rsidRDefault="00FE7FEB" w:rsidP="00D816E6">
            <w:pPr>
              <w:tabs>
                <w:tab w:val="left" w:pos="6828"/>
              </w:tabs>
              <w:jc w:val="right"/>
            </w:pPr>
            <w:r>
              <w:t>1.503,10</w:t>
            </w:r>
          </w:p>
        </w:tc>
      </w:tr>
    </w:tbl>
    <w:p w:rsidR="00FE7FEB" w:rsidRPr="00822B0A" w:rsidRDefault="00FE7FEB" w:rsidP="00FE7FEB">
      <w:pPr>
        <w:jc w:val="both"/>
      </w:pPr>
    </w:p>
    <w:p w:rsidR="00FE7FEB" w:rsidRDefault="00FE7FEB" w:rsidP="00FE7FEB">
      <w:pPr>
        <w:spacing w:after="120" w:line="240" w:lineRule="auto"/>
        <w:jc w:val="both"/>
      </w:pPr>
      <w:r w:rsidRPr="00822B0A">
        <w:t xml:space="preserve">- With the Board Decision dated </w:t>
      </w:r>
      <w:r>
        <w:t xml:space="preserve">13.12.2018 </w:t>
      </w:r>
      <w:r w:rsidRPr="00822B0A">
        <w:t xml:space="preserve">and numbered </w:t>
      </w:r>
      <w:r>
        <w:t xml:space="preserve">8252-14 </w:t>
      </w:r>
      <w:r w:rsidRPr="00822B0A">
        <w:t xml:space="preserve">published in the Official Gazette dated </w:t>
      </w:r>
      <w:r>
        <w:t xml:space="preserve">18.12.2018 </w:t>
      </w:r>
      <w:r w:rsidRPr="00822B0A">
        <w:t xml:space="preserve">and numbered </w:t>
      </w:r>
      <w:r>
        <w:t>30629</w:t>
      </w:r>
      <w:r w:rsidRPr="00822B0A">
        <w:t xml:space="preserve"> annual operational cost to be collected by distribution companies in 201</w:t>
      </w:r>
      <w:r>
        <w:t>9</w:t>
      </w:r>
      <w:r w:rsidRPr="00822B0A">
        <w:t xml:space="preserve"> as per the second paragraph of Art.31 of the Regulation on Exempted electricity Generation ofElectricity Distribution Companies in Electricity Market is determined as follows; </w:t>
      </w:r>
    </w:p>
    <w:p w:rsidR="00FE7FEB" w:rsidRDefault="00FE7FEB" w:rsidP="00FE7FEB"/>
    <w:p w:rsidR="00FE7FEB" w:rsidRPr="00542DD6" w:rsidRDefault="00FE7FEB" w:rsidP="00542DD6">
      <w:pPr>
        <w:pStyle w:val="Balk5"/>
      </w:pPr>
      <w:bookmarkStart w:id="190" w:name="_Toc512874155"/>
      <w:bookmarkStart w:id="191" w:name="_Toc12958499"/>
      <w:r w:rsidRPr="00542DD6">
        <w:rPr>
          <w:rStyle w:val="Gl"/>
          <w:b/>
          <w:bCs w:val="0"/>
        </w:rPr>
        <w:t>Table 4.18: Exempted Generation Operational Cost  (Electricity Distribution Companies)</w:t>
      </w:r>
      <w:bookmarkEnd w:id="190"/>
      <w:bookmarkEnd w:id="191"/>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7FEB" w:rsidRPr="00822B0A" w:rsidTr="00D816E6">
        <w:trPr>
          <w:jc w:val="center"/>
        </w:trPr>
        <w:tc>
          <w:tcPr>
            <w:tcW w:w="3789" w:type="dxa"/>
            <w:shd w:val="clear" w:color="auto" w:fill="6E9ECA"/>
            <w:vAlign w:val="center"/>
          </w:tcPr>
          <w:p w:rsidR="00FE7FEB" w:rsidRPr="00822B0A" w:rsidRDefault="00FE7FEB" w:rsidP="00D816E6">
            <w:pPr>
              <w:tabs>
                <w:tab w:val="left" w:pos="6828"/>
              </w:tabs>
              <w:jc w:val="center"/>
              <w:rPr>
                <w:b/>
                <w:color w:val="FFFFFF" w:themeColor="background1"/>
              </w:rPr>
            </w:pPr>
            <w:r w:rsidRPr="00822B0A">
              <w:rPr>
                <w:b/>
                <w:color w:val="FFFFFF" w:themeColor="background1"/>
              </w:rPr>
              <w:t>Installed Capacity</w:t>
            </w:r>
          </w:p>
        </w:tc>
        <w:tc>
          <w:tcPr>
            <w:tcW w:w="3724" w:type="dxa"/>
            <w:shd w:val="clear" w:color="auto" w:fill="6E9ECA"/>
            <w:vAlign w:val="center"/>
          </w:tcPr>
          <w:p w:rsidR="00FE7FEB" w:rsidRPr="00822B0A" w:rsidRDefault="00FE7FEB" w:rsidP="00D816E6">
            <w:pPr>
              <w:tabs>
                <w:tab w:val="left" w:pos="6828"/>
              </w:tabs>
              <w:jc w:val="center"/>
              <w:rPr>
                <w:b/>
                <w:color w:val="FFFFFF" w:themeColor="background1"/>
              </w:rPr>
            </w:pPr>
            <w:r w:rsidRPr="00822B0A">
              <w:rPr>
                <w:b/>
                <w:color w:val="FFFFFF" w:themeColor="background1"/>
              </w:rPr>
              <w:t>Operational Cost (TL/year)</w:t>
            </w:r>
          </w:p>
        </w:tc>
      </w:tr>
      <w:tr w:rsidR="00FE7FEB" w:rsidRPr="00822B0A" w:rsidTr="00D816E6">
        <w:trPr>
          <w:jc w:val="center"/>
        </w:trPr>
        <w:tc>
          <w:tcPr>
            <w:tcW w:w="3789" w:type="dxa"/>
          </w:tcPr>
          <w:p w:rsidR="00FE7FEB" w:rsidRPr="00822B0A" w:rsidRDefault="00FE7FEB" w:rsidP="00D816E6">
            <w:pPr>
              <w:tabs>
                <w:tab w:val="left" w:pos="6828"/>
              </w:tabs>
              <w:jc w:val="both"/>
            </w:pPr>
            <w:r w:rsidRPr="00822B0A">
              <w:t>0-10 kW (included)</w:t>
            </w:r>
          </w:p>
        </w:tc>
        <w:tc>
          <w:tcPr>
            <w:tcW w:w="3724" w:type="dxa"/>
          </w:tcPr>
          <w:p w:rsidR="00FE7FEB" w:rsidRPr="00822B0A" w:rsidRDefault="00FE7FEB" w:rsidP="00D816E6">
            <w:pPr>
              <w:tabs>
                <w:tab w:val="left" w:pos="6828"/>
              </w:tabs>
              <w:jc w:val="right"/>
            </w:pPr>
            <w:r w:rsidRPr="00822B0A">
              <w:t>0</w:t>
            </w:r>
          </w:p>
        </w:tc>
      </w:tr>
      <w:tr w:rsidR="00FE7FEB" w:rsidRPr="00822B0A" w:rsidTr="00D816E6">
        <w:trPr>
          <w:jc w:val="center"/>
        </w:trPr>
        <w:tc>
          <w:tcPr>
            <w:tcW w:w="3789" w:type="dxa"/>
          </w:tcPr>
          <w:p w:rsidR="00FE7FEB" w:rsidRPr="00822B0A" w:rsidRDefault="00FE7FEB" w:rsidP="00D816E6">
            <w:pPr>
              <w:tabs>
                <w:tab w:val="left" w:pos="6828"/>
              </w:tabs>
              <w:jc w:val="both"/>
            </w:pPr>
            <w:r w:rsidRPr="00822B0A">
              <w:t>10-250 kW (included)</w:t>
            </w:r>
          </w:p>
        </w:tc>
        <w:tc>
          <w:tcPr>
            <w:tcW w:w="3724" w:type="dxa"/>
          </w:tcPr>
          <w:p w:rsidR="00FE7FEB" w:rsidRPr="00822B0A" w:rsidRDefault="00FE7FEB" w:rsidP="00D816E6">
            <w:pPr>
              <w:tabs>
                <w:tab w:val="left" w:pos="6828"/>
              </w:tabs>
              <w:jc w:val="right"/>
            </w:pPr>
            <w:r>
              <w:t>1.050,80</w:t>
            </w:r>
          </w:p>
        </w:tc>
      </w:tr>
      <w:tr w:rsidR="00FE7FEB" w:rsidRPr="00822B0A" w:rsidTr="00D816E6">
        <w:trPr>
          <w:jc w:val="center"/>
        </w:trPr>
        <w:tc>
          <w:tcPr>
            <w:tcW w:w="3789" w:type="dxa"/>
          </w:tcPr>
          <w:p w:rsidR="00FE7FEB" w:rsidRPr="00822B0A" w:rsidRDefault="00FE7FEB" w:rsidP="00D816E6">
            <w:pPr>
              <w:tabs>
                <w:tab w:val="left" w:pos="6828"/>
              </w:tabs>
              <w:jc w:val="both"/>
            </w:pPr>
            <w:r w:rsidRPr="00822B0A">
              <w:t xml:space="preserve">More than 250 kW </w:t>
            </w:r>
          </w:p>
        </w:tc>
        <w:tc>
          <w:tcPr>
            <w:tcW w:w="3724" w:type="dxa"/>
          </w:tcPr>
          <w:p w:rsidR="00FE7FEB" w:rsidRPr="00822B0A" w:rsidRDefault="00FE7FEB" w:rsidP="00D816E6">
            <w:pPr>
              <w:tabs>
                <w:tab w:val="left" w:pos="6828"/>
              </w:tabs>
              <w:jc w:val="right"/>
            </w:pPr>
            <w:r w:rsidRPr="00822B0A">
              <w:t>1.667,98</w:t>
            </w:r>
          </w:p>
        </w:tc>
      </w:tr>
    </w:tbl>
    <w:p w:rsidR="00FE7FEB" w:rsidRPr="004A4CC3" w:rsidRDefault="00FE7FEB" w:rsidP="00FE7FEB">
      <w:pPr>
        <w:rPr>
          <w:b/>
          <w:bCs/>
        </w:rPr>
      </w:pPr>
    </w:p>
    <w:p w:rsidR="00FE7FEB" w:rsidRPr="000B181C" w:rsidRDefault="00FE7FEB" w:rsidP="000B181C">
      <w:pPr>
        <w:pStyle w:val="Balk3"/>
      </w:pPr>
      <w:bookmarkStart w:id="192" w:name="_Toc505346071"/>
      <w:bookmarkStart w:id="193" w:name="_Toc514251652"/>
      <w:bookmarkStart w:id="194" w:name="_Toc12956334"/>
      <w:r w:rsidRPr="000B181C">
        <w:t>4.1.3.Market Operation Tariff</w:t>
      </w:r>
      <w:bookmarkEnd w:id="192"/>
      <w:bookmarkEnd w:id="193"/>
      <w:bookmarkEnd w:id="194"/>
    </w:p>
    <w:p w:rsidR="00FE7FEB" w:rsidRDefault="00FE7FEB" w:rsidP="00FE7FEB">
      <w:r w:rsidRPr="004A4CC3">
        <w:t>EPİAŞ's market operating income ceiling for 2019 was determined as in Table 4.19 with the Board Decision dated 24.01.2018 and numbered 8392-1 published in the Official Gazette dated 26.01.2019 and numbered 30667</w:t>
      </w:r>
      <w:r>
        <w:t xml:space="preserve"> and </w:t>
      </w:r>
      <w:r w:rsidRPr="004A4CC3">
        <w:t>8393-3 with the decision of the Organized Wholesale Natural Gas Sales Market Operation Income Ceiling to be applied to meet the price and commissions and the method of implementation has been adopted.</w:t>
      </w:r>
    </w:p>
    <w:p w:rsidR="00FE7FEB" w:rsidRPr="00542DD6" w:rsidRDefault="00FE7FEB" w:rsidP="00542DD6">
      <w:pPr>
        <w:pStyle w:val="Balk5"/>
      </w:pPr>
      <w:bookmarkStart w:id="195" w:name="_Toc505346191"/>
      <w:bookmarkStart w:id="196" w:name="_Toc512874156"/>
      <w:bookmarkStart w:id="197" w:name="_Toc12958500"/>
      <w:r w:rsidRPr="00542DD6">
        <w:rPr>
          <w:rStyle w:val="Gl"/>
          <w:b/>
          <w:bCs w:val="0"/>
        </w:rPr>
        <w:t>Table 4.19: EPİAŞ Market Operation Price Cap in 201</w:t>
      </w:r>
      <w:bookmarkEnd w:id="195"/>
      <w:bookmarkEnd w:id="196"/>
      <w:r w:rsidRPr="00542DD6">
        <w:rPr>
          <w:rStyle w:val="Gl"/>
          <w:b/>
          <w:bCs w:val="0"/>
        </w:rPr>
        <w:t>9</w:t>
      </w:r>
      <w:bookmarkEnd w:id="197"/>
    </w:p>
    <w:tbl>
      <w:tblPr>
        <w:tblW w:w="922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7560"/>
        <w:gridCol w:w="1660"/>
      </w:tblGrid>
      <w:tr w:rsidR="00FE7FEB" w:rsidRPr="00822B0A" w:rsidTr="00D816E6">
        <w:trPr>
          <w:trHeight w:val="315"/>
          <w:jc w:val="center"/>
        </w:trPr>
        <w:tc>
          <w:tcPr>
            <w:tcW w:w="7560" w:type="dxa"/>
            <w:shd w:val="clear" w:color="auto" w:fill="auto"/>
            <w:noWrap/>
            <w:vAlign w:val="center"/>
            <w:hideMark/>
          </w:tcPr>
          <w:p w:rsidR="00FE7FEB" w:rsidRPr="00822B0A" w:rsidRDefault="00FE7FEB" w:rsidP="00D816E6">
            <w:pPr>
              <w:spacing w:after="0" w:line="240" w:lineRule="auto"/>
              <w:jc w:val="both"/>
              <w:rPr>
                <w:rFonts w:eastAsia="Times New Roman" w:cs="Calibri"/>
                <w:bCs/>
                <w:lang w:eastAsia="tr-TR"/>
              </w:rPr>
            </w:pPr>
            <w:bookmarkStart w:id="198" w:name="_Toc505346192"/>
            <w:r w:rsidRPr="00822B0A">
              <w:rPr>
                <w:rFonts w:eastAsia="Times New Roman" w:cs="Calibri"/>
                <w:bCs/>
                <w:lang w:eastAsia="tr-TR"/>
              </w:rPr>
              <w:t>201</w:t>
            </w:r>
            <w:r>
              <w:rPr>
                <w:rFonts w:eastAsia="Times New Roman" w:cs="Calibri"/>
                <w:bCs/>
                <w:lang w:eastAsia="tr-TR"/>
              </w:rPr>
              <w:t>9</w:t>
            </w:r>
            <w:r w:rsidRPr="00822B0A">
              <w:rPr>
                <w:rFonts w:eastAsia="Times New Roman" w:cs="Calibri"/>
                <w:bCs/>
                <w:lang w:eastAsia="tr-TR"/>
              </w:rPr>
              <w:t xml:space="preserve"> Market Operation Revenue Cap - Electricity Market Share </w:t>
            </w:r>
            <w:r w:rsidRPr="00822B0A">
              <w:rPr>
                <w:rFonts w:eastAsia="Times New Roman" w:cs="Calibri"/>
                <w:lang w:eastAsia="tr-TR"/>
              </w:rPr>
              <w:t>(TL - CPI=3</w:t>
            </w:r>
            <w:r>
              <w:rPr>
                <w:rFonts w:eastAsia="Times New Roman" w:cs="Calibri"/>
                <w:lang w:eastAsia="tr-TR"/>
              </w:rPr>
              <w:t>93,88</w:t>
            </w:r>
            <w:r w:rsidRPr="00822B0A">
              <w:rPr>
                <w:rFonts w:eastAsia="Times New Roman" w:cs="Calibri"/>
                <w:lang w:eastAsia="tr-TR"/>
              </w:rPr>
              <w:t>)</w:t>
            </w:r>
          </w:p>
        </w:tc>
        <w:tc>
          <w:tcPr>
            <w:tcW w:w="1660" w:type="dxa"/>
            <w:shd w:val="clear" w:color="auto" w:fill="auto"/>
            <w:noWrap/>
            <w:vAlign w:val="center"/>
            <w:hideMark/>
          </w:tcPr>
          <w:p w:rsidR="00FE7FEB" w:rsidRPr="00822B0A" w:rsidRDefault="00FE7FEB" w:rsidP="00D816E6">
            <w:pPr>
              <w:spacing w:after="0" w:line="240" w:lineRule="auto"/>
              <w:jc w:val="right"/>
              <w:rPr>
                <w:rFonts w:eastAsia="Times New Roman" w:cs="Calibri"/>
                <w:bCs/>
                <w:lang w:eastAsia="tr-TR"/>
              </w:rPr>
            </w:pPr>
            <w:r>
              <w:rPr>
                <w:rFonts w:eastAsia="Times New Roman" w:cs="Calibri"/>
                <w:bCs/>
                <w:lang w:eastAsia="tr-TR"/>
              </w:rPr>
              <w:t>130.843.685</w:t>
            </w:r>
          </w:p>
        </w:tc>
      </w:tr>
      <w:tr w:rsidR="00FE7FEB" w:rsidRPr="00822B0A" w:rsidTr="00D816E6">
        <w:trPr>
          <w:trHeight w:val="315"/>
          <w:jc w:val="center"/>
        </w:trPr>
        <w:tc>
          <w:tcPr>
            <w:tcW w:w="7560" w:type="dxa"/>
            <w:shd w:val="clear" w:color="auto" w:fill="auto"/>
            <w:noWrap/>
            <w:vAlign w:val="center"/>
            <w:hideMark/>
          </w:tcPr>
          <w:p w:rsidR="00FE7FEB" w:rsidRPr="00822B0A" w:rsidRDefault="00FE7FEB" w:rsidP="00D816E6">
            <w:pPr>
              <w:spacing w:after="0" w:line="240" w:lineRule="auto"/>
              <w:jc w:val="both"/>
              <w:rPr>
                <w:rFonts w:eastAsia="Times New Roman" w:cs="Calibri"/>
                <w:bCs/>
                <w:lang w:eastAsia="tr-TR"/>
              </w:rPr>
            </w:pPr>
            <w:r w:rsidRPr="00822B0A">
              <w:rPr>
                <w:rFonts w:eastAsia="Times New Roman" w:cs="Calibri"/>
                <w:bCs/>
                <w:lang w:eastAsia="tr-TR"/>
              </w:rPr>
              <w:t>201</w:t>
            </w:r>
            <w:r>
              <w:rPr>
                <w:rFonts w:eastAsia="Times New Roman" w:cs="Calibri"/>
                <w:bCs/>
                <w:lang w:eastAsia="tr-TR"/>
              </w:rPr>
              <w:t>9</w:t>
            </w:r>
            <w:r w:rsidRPr="00822B0A">
              <w:rPr>
                <w:rFonts w:eastAsia="Times New Roman" w:cs="Calibri"/>
                <w:bCs/>
                <w:lang w:eastAsia="tr-TR"/>
              </w:rPr>
              <w:t xml:space="preserve"> Market Operation Revenue Cap - Natural Gas Market </w:t>
            </w:r>
            <w:r>
              <w:rPr>
                <w:rFonts w:eastAsia="Times New Roman" w:cs="Calibri"/>
                <w:bCs/>
                <w:lang w:eastAsia="tr-TR"/>
              </w:rPr>
              <w:t>Share</w:t>
            </w:r>
            <w:r w:rsidRPr="00822B0A">
              <w:rPr>
                <w:rFonts w:eastAsia="Times New Roman" w:cs="Calibri"/>
                <w:bCs/>
                <w:lang w:eastAsia="tr-TR"/>
              </w:rPr>
              <w:t xml:space="preserve"> </w:t>
            </w:r>
            <w:r w:rsidRPr="00822B0A">
              <w:rPr>
                <w:rFonts w:eastAsia="Times New Roman" w:cs="Calibri"/>
                <w:lang w:eastAsia="tr-TR"/>
              </w:rPr>
              <w:t>(TL - CPI=</w:t>
            </w:r>
            <w:r>
              <w:rPr>
                <w:rFonts w:eastAsia="Times New Roman" w:cs="Calibri"/>
                <w:lang w:eastAsia="tr-TR"/>
              </w:rPr>
              <w:t>393,88</w:t>
            </w:r>
            <w:r w:rsidRPr="00822B0A">
              <w:rPr>
                <w:rFonts w:eastAsia="Times New Roman" w:cs="Calibri"/>
                <w:lang w:eastAsia="tr-TR"/>
              </w:rPr>
              <w:t>)</w:t>
            </w:r>
          </w:p>
        </w:tc>
        <w:tc>
          <w:tcPr>
            <w:tcW w:w="1660" w:type="dxa"/>
            <w:shd w:val="clear" w:color="auto" w:fill="auto"/>
            <w:noWrap/>
            <w:vAlign w:val="center"/>
            <w:hideMark/>
          </w:tcPr>
          <w:p w:rsidR="00FE7FEB" w:rsidRPr="00822B0A" w:rsidRDefault="00FE7FEB" w:rsidP="00D816E6">
            <w:pPr>
              <w:spacing w:after="0" w:line="240" w:lineRule="auto"/>
              <w:jc w:val="right"/>
              <w:rPr>
                <w:rFonts w:eastAsia="Times New Roman" w:cs="Calibri"/>
                <w:bCs/>
                <w:lang w:eastAsia="tr-TR"/>
              </w:rPr>
            </w:pPr>
            <w:r>
              <w:rPr>
                <w:rFonts w:eastAsia="Times New Roman" w:cs="Calibri"/>
                <w:bCs/>
                <w:lang w:eastAsia="tr-TR"/>
              </w:rPr>
              <w:t>4.718.781</w:t>
            </w:r>
          </w:p>
        </w:tc>
      </w:tr>
      <w:bookmarkEnd w:id="198"/>
    </w:tbl>
    <w:p w:rsidR="00FE7FEB" w:rsidRPr="00F75A0B" w:rsidRDefault="00FE7FEB" w:rsidP="00FE7FEB"/>
    <w:p w:rsidR="00FE7FEB" w:rsidRPr="000B181C" w:rsidRDefault="00FE7FEB" w:rsidP="000B181C">
      <w:pPr>
        <w:pStyle w:val="Balk3"/>
      </w:pPr>
      <w:bookmarkStart w:id="199" w:name="_Toc505346072"/>
      <w:bookmarkStart w:id="200" w:name="_Toc514251653"/>
      <w:bookmarkStart w:id="201" w:name="_Toc12956335"/>
      <w:r w:rsidRPr="000B181C">
        <w:t>4.1.4.OIZ Distribution Fee</w:t>
      </w:r>
      <w:bookmarkEnd w:id="199"/>
      <w:bookmarkEnd w:id="200"/>
      <w:bookmarkEnd w:id="201"/>
    </w:p>
    <w:p w:rsidR="00FE7FEB" w:rsidRDefault="00FE7FEB" w:rsidP="00FE7FEB">
      <w:r w:rsidRPr="00F75A0B">
        <w:t>The distribution fees to be applied by the Organized Industrial Zones with distribution licenses to the participants within the approved limits in 2019 are published in the Official Gazette dated 28.11.2018 and numbered 8211-1 to 169 published in the Official Gazette dated 09.12.2018 and numbered 30620 and published in the Official Gazette dated 29.12.2018 and numbered 30640. It was approved by the Board Decisions dated 27.12.2018 and numbered 8302-1 to 3.</w:t>
      </w:r>
    </w:p>
    <w:p w:rsidR="00FE7FEB" w:rsidRPr="00822B0A" w:rsidRDefault="00FE7FEB" w:rsidP="00FE7FEB">
      <w:pPr>
        <w:spacing w:after="120" w:line="240" w:lineRule="auto"/>
        <w:jc w:val="both"/>
      </w:pPr>
      <w:r>
        <w:t xml:space="preserve">OIZ </w:t>
      </w:r>
      <w:r w:rsidRPr="00822B0A">
        <w:t>administrations are able to offer Distribution price proposals as MV, LV, single term and double term as per the Organized Industrial Zones Regulation Regarding Electricity Market Activities. The distribution-based evaluations are based on the "benchmarking model", taking into account the unit energy cost estimates of the OIZs, investment expenditures, operating expenses, lost energy costs and the Distribution tariff predictions for the Distribution zones in which they are located.</w:t>
      </w:r>
    </w:p>
    <w:p w:rsidR="00FE7FEB" w:rsidRDefault="00FE7FEB" w:rsidP="00FE7FEB"/>
    <w:p w:rsidR="00FE7FEB" w:rsidRPr="00F75A0B" w:rsidRDefault="00FE7FEB" w:rsidP="000B181C">
      <w:pPr>
        <w:pStyle w:val="Balk3"/>
      </w:pPr>
      <w:bookmarkStart w:id="202" w:name="_Toc12956336"/>
      <w:r w:rsidRPr="00F75A0B">
        <w:t>4.1.5.TETAŞ/EÜAŞ Wholesale Tariff</w:t>
      </w:r>
      <w:bookmarkEnd w:id="202"/>
    </w:p>
    <w:p w:rsidR="00FE7FEB" w:rsidRDefault="00FE7FEB" w:rsidP="00FE7FEB">
      <w:r w:rsidRPr="00F75A0B">
        <w:t>Wholesale tariffs approved by TETAŞ and EÜAŞ for the whole of 2018 and the first tariff period of 2019 are given in Tables 4.20 and 4.21.</w:t>
      </w:r>
    </w:p>
    <w:p w:rsidR="00FE7FEB" w:rsidRPr="00542DD6" w:rsidRDefault="00FE7FEB" w:rsidP="00542DD6">
      <w:pPr>
        <w:pStyle w:val="Balk5"/>
        <w:rPr>
          <w:rStyle w:val="Gl"/>
          <w:b/>
          <w:bCs w:val="0"/>
        </w:rPr>
      </w:pPr>
      <w:bookmarkStart w:id="203" w:name="_Toc12958501"/>
      <w:bookmarkStart w:id="204" w:name="_Toc505346193"/>
      <w:bookmarkStart w:id="205" w:name="_Toc512874157"/>
      <w:r w:rsidRPr="00542DD6">
        <w:rPr>
          <w:rStyle w:val="Gl"/>
          <w:b/>
          <w:bCs w:val="0"/>
        </w:rPr>
        <w:t>Table 4.20: TETAŞ/EÜAŞ Wholesale Tariffs (for the sale of twchnical and non-technical loses to</w:t>
      </w:r>
      <w:bookmarkEnd w:id="203"/>
      <w:r w:rsidRPr="00542DD6">
        <w:rPr>
          <w:rStyle w:val="Gl"/>
          <w:b/>
          <w:bCs w:val="0"/>
        </w:rPr>
        <w:t xml:space="preserve"> </w:t>
      </w:r>
    </w:p>
    <w:p w:rsidR="00FE7FEB" w:rsidRPr="00542DD6" w:rsidRDefault="00FE7FEB" w:rsidP="00542DD6">
      <w:pPr>
        <w:pStyle w:val="Balk5"/>
      </w:pPr>
      <w:bookmarkStart w:id="206" w:name="_Toc12958502"/>
      <w:r w:rsidRPr="00542DD6">
        <w:rPr>
          <w:rStyle w:val="Gl"/>
          <w:b/>
          <w:bCs w:val="0"/>
        </w:rPr>
        <w:t xml:space="preserve">assigned supplier companies and </w:t>
      </w:r>
      <w:r w:rsidRPr="00542DD6">
        <w:t>Distribution Companies)</w:t>
      </w:r>
      <w:bookmarkEnd w:id="204"/>
      <w:bookmarkEnd w:id="205"/>
      <w:bookmarkEnd w:id="206"/>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FE7FEB" w:rsidTr="00D816E6">
        <w:trPr>
          <w:trHeight w:val="548"/>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lang w:val="tr-TR"/>
              </w:rPr>
            </w:pPr>
            <w:r w:rsidRPr="00822B0A">
              <w:rPr>
                <w:b/>
                <w:bCs/>
                <w:color w:val="FFFFFF" w:themeColor="background1"/>
              </w:rPr>
              <w:t>Date of Board Decision</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No of Board Decision</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Effectiveness date</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822B0A" w:rsidRDefault="00FE7FEB" w:rsidP="00D816E6">
            <w:pPr>
              <w:spacing w:after="0" w:line="240" w:lineRule="auto"/>
              <w:jc w:val="center"/>
              <w:rPr>
                <w:b/>
                <w:bCs/>
                <w:color w:val="FFFFFF" w:themeColor="background1"/>
              </w:rPr>
            </w:pPr>
            <w:r w:rsidRPr="00822B0A">
              <w:rPr>
                <w:b/>
                <w:bCs/>
                <w:color w:val="FFFFFF" w:themeColor="background1"/>
              </w:rPr>
              <w:t xml:space="preserve">Official Gazette </w:t>
            </w:r>
          </w:p>
          <w:p w:rsidR="00FE7FEB" w:rsidRDefault="00FE7FEB" w:rsidP="00D816E6">
            <w:pPr>
              <w:spacing w:after="0" w:line="240" w:lineRule="auto"/>
              <w:jc w:val="center"/>
              <w:rPr>
                <w:b/>
                <w:bCs/>
                <w:color w:val="FFFFFF" w:themeColor="background1"/>
              </w:rPr>
            </w:pPr>
            <w:r w:rsidRPr="00822B0A">
              <w:rPr>
                <w:b/>
                <w:bCs/>
                <w:color w:val="FFFFFF" w:themeColor="background1"/>
              </w:rPr>
              <w:t>date and number</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Active Electricity power cost(Krş/kWh)</w:t>
            </w:r>
          </w:p>
        </w:tc>
      </w:tr>
      <w:tr w:rsidR="00FE7FE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highlight w:val="yellow"/>
              </w:rPr>
            </w:pPr>
            <w:r>
              <w:rPr>
                <w:color w:val="000000" w:themeColor="text1"/>
              </w:rPr>
              <w:t>28.12.2017</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highlight w:val="yellow"/>
              </w:rPr>
            </w:pPr>
            <w:r>
              <w:rPr>
                <w:color w:val="000000" w:themeColor="text1"/>
              </w:rPr>
              <w:t>7619</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highlight w:val="yellow"/>
              </w:rPr>
            </w:pPr>
            <w:r>
              <w:rPr>
                <w:color w:val="000000" w:themeColor="text1"/>
              </w:rPr>
              <w:t>01.01.2018</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30.12.2017-30286</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right"/>
              <w:rPr>
                <w:color w:val="000000" w:themeColor="text1"/>
                <w:highlight w:val="yellow"/>
              </w:rPr>
            </w:pPr>
            <w:r>
              <w:rPr>
                <w:color w:val="000000" w:themeColor="text1"/>
              </w:rPr>
              <w:t>18,0080</w:t>
            </w:r>
          </w:p>
        </w:tc>
      </w:tr>
      <w:tr w:rsidR="00FE7FE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29.03.2018</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7772</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01.04.2018</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30.03.2018 -30376</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right"/>
              <w:rPr>
                <w:color w:val="000000" w:themeColor="text1"/>
                <w:highlight w:val="yellow"/>
              </w:rPr>
            </w:pPr>
            <w:r>
              <w:rPr>
                <w:color w:val="000000" w:themeColor="text1"/>
              </w:rPr>
              <w:t>14,1000</w:t>
            </w:r>
          </w:p>
        </w:tc>
      </w:tr>
      <w:tr w:rsidR="00FE7FE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31.07.2018</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7987</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01.08.2018</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31.07.2018 -30495 2.Mükerrer</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right"/>
              <w:rPr>
                <w:color w:val="000000" w:themeColor="text1"/>
              </w:rPr>
            </w:pPr>
            <w:r>
              <w:rPr>
                <w:color w:val="000000" w:themeColor="text1"/>
              </w:rPr>
              <w:t>17,3610</w:t>
            </w:r>
          </w:p>
        </w:tc>
      </w:tr>
      <w:tr w:rsidR="00FE7FE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27.12.2018</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8357</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01.01.2019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29.12.2018-30640</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right"/>
              <w:rPr>
                <w:color w:val="000000" w:themeColor="text1"/>
              </w:rPr>
            </w:pPr>
            <w:r>
              <w:rPr>
                <w:color w:val="000000" w:themeColor="text1"/>
              </w:rPr>
              <w:t>12,6335</w:t>
            </w:r>
          </w:p>
        </w:tc>
      </w:tr>
    </w:tbl>
    <w:p w:rsidR="00FE7FEB" w:rsidRDefault="00FE7FEB" w:rsidP="00FE7FEB"/>
    <w:p w:rsidR="00FE7FEB" w:rsidRPr="00542DD6" w:rsidRDefault="00FE7FEB" w:rsidP="00542DD6">
      <w:pPr>
        <w:pStyle w:val="Balk5"/>
        <w:rPr>
          <w:rStyle w:val="Gl"/>
          <w:b/>
          <w:bCs w:val="0"/>
        </w:rPr>
      </w:pPr>
      <w:bookmarkStart w:id="207" w:name="_Toc12958503"/>
      <w:r w:rsidRPr="00542DD6">
        <w:rPr>
          <w:rStyle w:val="Gl"/>
          <w:b/>
          <w:bCs w:val="0"/>
        </w:rPr>
        <w:t xml:space="preserve">Table 4.21: TETAŞ Wholesale tariffs </w:t>
      </w:r>
      <w:r w:rsidRPr="00542DD6">
        <w:rPr>
          <w:rStyle w:val="Gl"/>
          <w:b/>
          <w:bCs w:val="0"/>
        </w:rPr>
        <w:br/>
        <w:t xml:space="preserve">(for the sales to the </w:t>
      </w:r>
      <w:r w:rsidRPr="00542DD6">
        <w:t>Distribution Companies with regard to generatl lighting)</w:t>
      </w:r>
      <w:bookmarkEnd w:id="207"/>
      <w:r w:rsidRPr="00542DD6">
        <w:t xml:space="preserve"> </w:t>
      </w:r>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FE7FEB" w:rsidTr="00D816E6">
        <w:trPr>
          <w:trHeight w:val="548"/>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color w:val="FFFFFF" w:themeColor="background1"/>
              </w:rPr>
            </w:pPr>
            <w:r w:rsidRPr="00822B0A">
              <w:rPr>
                <w:b/>
                <w:bCs/>
                <w:color w:val="FFFFFF" w:themeColor="background1"/>
              </w:rPr>
              <w:t>Date of Board Decision</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No of Board Decision</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Effectiveness date</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822B0A" w:rsidRDefault="00FE7FEB" w:rsidP="00D816E6">
            <w:pPr>
              <w:spacing w:after="0" w:line="240" w:lineRule="auto"/>
              <w:jc w:val="center"/>
              <w:rPr>
                <w:b/>
                <w:bCs/>
                <w:color w:val="FFFFFF" w:themeColor="background1"/>
              </w:rPr>
            </w:pPr>
            <w:r w:rsidRPr="00822B0A">
              <w:rPr>
                <w:b/>
                <w:bCs/>
                <w:color w:val="FFFFFF" w:themeColor="background1"/>
              </w:rPr>
              <w:t xml:space="preserve">Official Gazette </w:t>
            </w:r>
          </w:p>
          <w:p w:rsidR="00FE7FEB" w:rsidRDefault="00FE7FEB" w:rsidP="00D816E6">
            <w:pPr>
              <w:spacing w:after="0" w:line="240" w:lineRule="auto"/>
              <w:jc w:val="center"/>
              <w:rPr>
                <w:b/>
                <w:bCs/>
                <w:color w:val="FFFFFF" w:themeColor="background1"/>
              </w:rPr>
            </w:pPr>
            <w:r w:rsidRPr="00822B0A">
              <w:rPr>
                <w:b/>
                <w:bCs/>
                <w:color w:val="FFFFFF" w:themeColor="background1"/>
              </w:rPr>
              <w:t>date and number</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sidRPr="00822B0A">
              <w:rPr>
                <w:b/>
                <w:bCs/>
                <w:color w:val="FFFFFF" w:themeColor="background1"/>
              </w:rPr>
              <w:t>Active Electricity Power Cost (Krş/kWh)</w:t>
            </w:r>
          </w:p>
        </w:tc>
      </w:tr>
      <w:tr w:rsidR="00FE7FE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highlight w:val="yellow"/>
              </w:rPr>
            </w:pPr>
            <w:r>
              <w:rPr>
                <w:color w:val="000000" w:themeColor="text1"/>
              </w:rPr>
              <w:t>28.12.2017</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highlight w:val="yellow"/>
              </w:rPr>
            </w:pPr>
            <w:r>
              <w:rPr>
                <w:color w:val="000000" w:themeColor="text1"/>
              </w:rPr>
              <w:t>7619</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highlight w:val="yellow"/>
              </w:rPr>
            </w:pPr>
            <w:r>
              <w:rPr>
                <w:color w:val="000000" w:themeColor="text1"/>
              </w:rPr>
              <w:t>01.01.2018</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30.12.2017-30286</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right"/>
              <w:rPr>
                <w:color w:val="000000" w:themeColor="text1"/>
                <w:highlight w:val="yellow"/>
              </w:rPr>
            </w:pPr>
            <w:r>
              <w:rPr>
                <w:color w:val="000000" w:themeColor="text1"/>
              </w:rPr>
              <w:t>20,6300</w:t>
            </w:r>
          </w:p>
        </w:tc>
      </w:tr>
      <w:tr w:rsidR="00FE7FE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29.03.2018</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7772</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01.04.2018</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30.03.2018 -30376</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right"/>
              <w:rPr>
                <w:color w:val="000000" w:themeColor="text1"/>
                <w:highlight w:val="yellow"/>
              </w:rPr>
            </w:pPr>
            <w:r>
              <w:rPr>
                <w:color w:val="000000" w:themeColor="text1"/>
              </w:rPr>
              <w:t>21,8100</w:t>
            </w:r>
          </w:p>
        </w:tc>
      </w:tr>
      <w:tr w:rsidR="00FE7FE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31.07.2018</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7987</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01.08.2018</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31.07.2018 -30495 2.Mükerrer</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right"/>
              <w:rPr>
                <w:color w:val="000000" w:themeColor="text1"/>
              </w:rPr>
            </w:pPr>
            <w:r>
              <w:rPr>
                <w:color w:val="000000" w:themeColor="text1"/>
              </w:rPr>
              <w:t>25,4640</w:t>
            </w:r>
          </w:p>
        </w:tc>
      </w:tr>
      <w:tr w:rsidR="00FE7FE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27.12.2018</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8357</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center"/>
              <w:rPr>
                <w:color w:val="000000" w:themeColor="text1"/>
              </w:rPr>
            </w:pPr>
            <w:r>
              <w:rPr>
                <w:color w:val="000000" w:themeColor="text1"/>
              </w:rPr>
              <w:t>01.01.2019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Default="00FE7FEB" w:rsidP="00D816E6">
            <w:pPr>
              <w:spacing w:after="0" w:line="240" w:lineRule="auto"/>
              <w:jc w:val="right"/>
              <w:rPr>
                <w:color w:val="000000" w:themeColor="text1"/>
              </w:rPr>
            </w:pPr>
            <w:r>
              <w:rPr>
                <w:color w:val="000000" w:themeColor="text1"/>
              </w:rPr>
              <w:t>29.12.2018-30640</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Default="00FE7FEB" w:rsidP="00D816E6">
            <w:pPr>
              <w:spacing w:after="0" w:line="240" w:lineRule="auto"/>
              <w:jc w:val="right"/>
              <w:rPr>
                <w:color w:val="000000" w:themeColor="text1"/>
              </w:rPr>
            </w:pPr>
            <w:r>
              <w:rPr>
                <w:color w:val="000000" w:themeColor="text1"/>
              </w:rPr>
              <w:t>25,4600</w:t>
            </w:r>
          </w:p>
        </w:tc>
      </w:tr>
    </w:tbl>
    <w:p w:rsidR="00FE7FEB" w:rsidRPr="0033651B" w:rsidRDefault="00FE7FEB" w:rsidP="00FE7FEB">
      <w:pPr>
        <w:spacing w:after="120" w:line="240" w:lineRule="auto"/>
        <w:jc w:val="both"/>
        <w:rPr>
          <w:color w:val="000000" w:themeColor="text1"/>
        </w:rPr>
      </w:pPr>
    </w:p>
    <w:p w:rsidR="00FE7FEB" w:rsidRPr="000B181C" w:rsidRDefault="00FE7FEB" w:rsidP="000B181C">
      <w:pPr>
        <w:pStyle w:val="Balk3"/>
      </w:pPr>
      <w:bookmarkStart w:id="208" w:name="_Toc505346074"/>
      <w:bookmarkStart w:id="209" w:name="_Toc514251655"/>
      <w:bookmarkStart w:id="210" w:name="_Toc12956337"/>
      <w:r w:rsidRPr="000B181C">
        <w:t>4.1.6.Turkey Average Electricity Wholesale Price</w:t>
      </w:r>
      <w:bookmarkEnd w:id="208"/>
      <w:bookmarkEnd w:id="209"/>
      <w:bookmarkEnd w:id="210"/>
    </w:p>
    <w:p w:rsidR="00FE7FEB" w:rsidRDefault="00FE7FEB" w:rsidP="00FE7FEB">
      <w:pPr>
        <w:spacing w:after="120" w:line="240" w:lineRule="auto"/>
        <w:jc w:val="both"/>
        <w:rPr>
          <w:color w:val="000000" w:themeColor="text1"/>
          <w:spacing w:val="-1"/>
        </w:rPr>
      </w:pPr>
      <w:r w:rsidRPr="00822B0A">
        <w:rPr>
          <w:color w:val="000000" w:themeColor="text1"/>
        </w:rPr>
        <w:t xml:space="preserve">With the Board Decision dated </w:t>
      </w:r>
      <w:r>
        <w:rPr>
          <w:color w:val="000000" w:themeColor="text1"/>
        </w:rPr>
        <w:t>13.12.2018</w:t>
      </w:r>
      <w:r w:rsidRPr="00822B0A">
        <w:rPr>
          <w:color w:val="000000" w:themeColor="text1"/>
        </w:rPr>
        <w:t xml:space="preserve"> and numbered </w:t>
      </w:r>
      <w:r>
        <w:rPr>
          <w:color w:val="000000" w:themeColor="text1"/>
        </w:rPr>
        <w:t>8252-9</w:t>
      </w:r>
      <w:r w:rsidRPr="00822B0A">
        <w:rPr>
          <w:color w:val="000000" w:themeColor="text1"/>
        </w:rPr>
        <w:t xml:space="preserve"> published in the Official Gazette dated </w:t>
      </w:r>
      <w:r>
        <w:rPr>
          <w:color w:val="000000" w:themeColor="text1"/>
        </w:rPr>
        <w:t>18.12.2018</w:t>
      </w:r>
      <w:r w:rsidRPr="00822B0A">
        <w:rPr>
          <w:color w:val="000000" w:themeColor="text1"/>
        </w:rPr>
        <w:t xml:space="preserve"> </w:t>
      </w:r>
      <w:r w:rsidRPr="00822B0A">
        <w:rPr>
          <w:color w:val="000000"/>
        </w:rPr>
        <w:t>and numbered</w:t>
      </w:r>
      <w:r>
        <w:rPr>
          <w:color w:val="000000"/>
        </w:rPr>
        <w:t xml:space="preserve"> 30629</w:t>
      </w:r>
      <w:r w:rsidRPr="00822B0A">
        <w:rPr>
          <w:color w:val="000000"/>
        </w:rPr>
        <w:t xml:space="preserve">, within the scope of the Law on Use of Renewable Energy Resources fort he Purpose of Electricity Generation No:5346; Turkey average electricity wholesale price was determined to be </w:t>
      </w:r>
      <w:r>
        <w:rPr>
          <w:spacing w:val="-1"/>
        </w:rPr>
        <w:t>20,48</w:t>
      </w:r>
      <w:r w:rsidRPr="00822B0A">
        <w:rPr>
          <w:spacing w:val="-1"/>
        </w:rPr>
        <w:t xml:space="preserve"> </w:t>
      </w:r>
      <w:r w:rsidRPr="00822B0A">
        <w:rPr>
          <w:color w:val="000000" w:themeColor="text1"/>
          <w:spacing w:val="-1"/>
        </w:rPr>
        <w:t>Krş/</w:t>
      </w:r>
      <w:r w:rsidRPr="00822B0A">
        <w:rPr>
          <w:color w:val="000000"/>
          <w:spacing w:val="-1"/>
        </w:rPr>
        <w:t>kWh</w:t>
      </w:r>
      <w:r w:rsidRPr="00822B0A">
        <w:rPr>
          <w:color w:val="000000" w:themeColor="text1"/>
          <w:spacing w:val="-1"/>
        </w:rPr>
        <w:t>, to be applied in 201</w:t>
      </w:r>
      <w:r>
        <w:rPr>
          <w:color w:val="000000" w:themeColor="text1"/>
          <w:spacing w:val="-1"/>
        </w:rPr>
        <w:t>9</w:t>
      </w:r>
      <w:r w:rsidRPr="00822B0A">
        <w:rPr>
          <w:color w:val="000000" w:themeColor="text1"/>
          <w:spacing w:val="-1"/>
        </w:rPr>
        <w:t xml:space="preserve">. </w:t>
      </w:r>
    </w:p>
    <w:p w:rsidR="00FE7FEB" w:rsidRDefault="00FE7FEB" w:rsidP="00FE7FEB"/>
    <w:p w:rsidR="00FE7FEB" w:rsidRPr="000B181C" w:rsidRDefault="00FE7FEB" w:rsidP="000B181C">
      <w:pPr>
        <w:pStyle w:val="Balk3"/>
      </w:pPr>
      <w:bookmarkStart w:id="211" w:name="_Toc505346075"/>
      <w:bookmarkStart w:id="212" w:name="_Toc514251656"/>
      <w:bookmarkStart w:id="213" w:name="_Toc12956338"/>
      <w:r w:rsidRPr="000B181C">
        <w:t>4.1.7.License Fees</w:t>
      </w:r>
      <w:bookmarkEnd w:id="211"/>
      <w:bookmarkEnd w:id="212"/>
      <w:bookmarkEnd w:id="213"/>
    </w:p>
    <w:p w:rsidR="00FE7FEB" w:rsidRPr="00822B0A" w:rsidRDefault="00FE7FEB" w:rsidP="00FE7FEB">
      <w:pPr>
        <w:spacing w:after="120" w:line="240" w:lineRule="auto"/>
        <w:jc w:val="both"/>
      </w:pPr>
      <w:r w:rsidRPr="00822B0A">
        <w:t xml:space="preserve">With the Board Decision dated </w:t>
      </w:r>
      <w:r>
        <w:t xml:space="preserve">20.12.2018 </w:t>
      </w:r>
      <w:r w:rsidRPr="00822B0A">
        <w:t xml:space="preserve">and numbered </w:t>
      </w:r>
      <w:r>
        <w:t>8275</w:t>
      </w:r>
      <w:r w:rsidRPr="00822B0A">
        <w:t xml:space="preserve"> published in the Official Gazette dated </w:t>
      </w:r>
      <w:r>
        <w:t xml:space="preserve">23.12.2018 </w:t>
      </w:r>
      <w:r w:rsidRPr="00822B0A">
        <w:t>and bis numbered 30</w:t>
      </w:r>
      <w:r>
        <w:t>634</w:t>
      </w:r>
      <w:r w:rsidRPr="00822B0A">
        <w:t>, as per the Art.43 of the electricity Market Licensing Regulation, the fees for preliminary license, annual license, license renewal, license and preliminary license amendments, and getting the copies of licenses are determined for 201</w:t>
      </w:r>
      <w:r>
        <w:t>9</w:t>
      </w:r>
      <w:r w:rsidRPr="00822B0A">
        <w:t>.</w:t>
      </w:r>
    </w:p>
    <w:p w:rsidR="00FE7FEB" w:rsidRPr="00822B0A" w:rsidRDefault="00FE7FEB" w:rsidP="00FE7FEB">
      <w:pPr>
        <w:spacing w:after="120" w:line="240" w:lineRule="auto"/>
      </w:pPr>
    </w:p>
    <w:p w:rsidR="00FE7FEB" w:rsidRPr="000B181C" w:rsidRDefault="00FE7FEB" w:rsidP="000B181C">
      <w:pPr>
        <w:pStyle w:val="Balk2"/>
      </w:pPr>
      <w:bookmarkStart w:id="214" w:name="_Toc505346076"/>
      <w:bookmarkStart w:id="215" w:name="_Toc514251657"/>
      <w:bookmarkStart w:id="216" w:name="_Toc12956339"/>
      <w:r w:rsidRPr="000B181C">
        <w:t>4.2.Natural Gas Market Tarif</w:t>
      </w:r>
      <w:bookmarkEnd w:id="214"/>
      <w:bookmarkEnd w:id="215"/>
      <w:r w:rsidRPr="000B181C">
        <w:t>fs</w:t>
      </w:r>
      <w:bookmarkEnd w:id="216"/>
      <w:r w:rsidRPr="000B181C">
        <w:tab/>
      </w:r>
    </w:p>
    <w:p w:rsidR="00FE7FEB" w:rsidRPr="00122D47" w:rsidRDefault="00FE7FEB" w:rsidP="00FE7FEB">
      <w:pPr>
        <w:spacing w:after="120" w:line="240" w:lineRule="auto"/>
        <w:jc w:val="both"/>
      </w:pPr>
      <w:r w:rsidRPr="00122D47">
        <w:t xml:space="preserve">Regulations on Natural Gas Market tariffs are made as per the Natural Gas Market Lae No:4646 and the Natural Gas Market Tariffs regulation. </w:t>
      </w:r>
    </w:p>
    <w:p w:rsidR="00FE7FEB" w:rsidRDefault="00FE7FEB" w:rsidP="00FE7FEB"/>
    <w:p w:rsidR="00FE7FEB" w:rsidRPr="000B181C" w:rsidRDefault="00FE7FEB" w:rsidP="000B181C">
      <w:pPr>
        <w:pStyle w:val="Balk3"/>
      </w:pPr>
      <w:bookmarkStart w:id="217" w:name="_Toc505346077"/>
      <w:bookmarkStart w:id="218" w:name="_Toc514251658"/>
      <w:bookmarkStart w:id="219" w:name="_Toc12956340"/>
      <w:r w:rsidRPr="000B181C">
        <w:t>4.2.1.Transmission and Shipping Control Tariffs</w:t>
      </w:r>
      <w:bookmarkEnd w:id="217"/>
      <w:bookmarkEnd w:id="218"/>
      <w:bookmarkEnd w:id="219"/>
    </w:p>
    <w:p w:rsidR="00FE7FEB" w:rsidRPr="00122D47" w:rsidRDefault="00FE7FEB" w:rsidP="00FE7FEB">
      <w:pPr>
        <w:spacing w:after="120" w:line="240" w:lineRule="auto"/>
        <w:jc w:val="both"/>
        <w:rPr>
          <w:bCs/>
          <w:color w:val="000000" w:themeColor="text1"/>
        </w:rPr>
      </w:pPr>
      <w:r w:rsidRPr="00122D47">
        <w:t xml:space="preserve">As per the “Principles and Procedures for Determining the Revenue caps taken as basic to the tariffs of natural gas transmision licensees” adopted by the Board Decision dated 03/10/2013 and numbered 4638-1, Board Decision dated </w:t>
      </w:r>
      <w:r w:rsidRPr="00122D47">
        <w:rPr>
          <w:bCs/>
          <w:color w:val="000000" w:themeColor="text1"/>
        </w:rPr>
        <w:t>27</w:t>
      </w:r>
      <w:r w:rsidRPr="00122D47">
        <w:rPr>
          <w:color w:val="000000" w:themeColor="text1"/>
        </w:rPr>
        <w:t xml:space="preserve">.12.2018 </w:t>
      </w:r>
      <w:r w:rsidRPr="00122D47">
        <w:t xml:space="preserve">and numbered </w:t>
      </w:r>
      <w:r w:rsidRPr="00122D47">
        <w:rPr>
          <w:color w:val="000000" w:themeColor="text1"/>
        </w:rPr>
        <w:t>8301</w:t>
      </w:r>
      <w:r w:rsidRPr="00122D47">
        <w:t xml:space="preserve"> on determining </w:t>
      </w:r>
      <w:r w:rsidRPr="00122D47">
        <w:rPr>
          <w:bCs/>
          <w:color w:val="000000" w:themeColor="text1"/>
        </w:rPr>
        <w:t xml:space="preserve">BOTAŞ’s transmission and shipping control fees for 2019 was published in teh Official Gazette dated </w:t>
      </w:r>
      <w:r w:rsidRPr="00122D47">
        <w:rPr>
          <w:color w:val="000000" w:themeColor="text1"/>
        </w:rPr>
        <w:t xml:space="preserve">29.12.2018 </w:t>
      </w:r>
      <w:r w:rsidRPr="00122D47">
        <w:rPr>
          <w:bCs/>
          <w:color w:val="000000" w:themeColor="text1"/>
        </w:rPr>
        <w:t xml:space="preserve">and numbered 30640 and became effective as of 01.01.2019.  Transmission Capacity Fee upper limits determined by the aforementioned decision are as follows; </w:t>
      </w:r>
    </w:p>
    <w:p w:rsidR="00FE7FEB" w:rsidRDefault="00FE7FEB" w:rsidP="00FE7FEB"/>
    <w:p w:rsidR="00FE7FEB" w:rsidRPr="00542DD6" w:rsidRDefault="00FE7FEB" w:rsidP="00542DD6">
      <w:pPr>
        <w:pStyle w:val="Balk5"/>
        <w:rPr>
          <w:rStyle w:val="Gl"/>
          <w:b/>
          <w:bCs w:val="0"/>
        </w:rPr>
      </w:pPr>
      <w:bookmarkStart w:id="220" w:name="_Toc505346195"/>
      <w:bookmarkStart w:id="221" w:name="_Toc512874159"/>
      <w:bookmarkStart w:id="222" w:name="_Toc12958504"/>
      <w:r w:rsidRPr="00542DD6">
        <w:rPr>
          <w:rStyle w:val="Gl"/>
          <w:b/>
          <w:bCs w:val="0"/>
        </w:rPr>
        <w:t>Table 4.22: Transmission capacity fee upper limits</w:t>
      </w:r>
      <w:bookmarkEnd w:id="220"/>
      <w:bookmarkEnd w:id="221"/>
      <w:bookmarkEnd w:id="222"/>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FE7FEB" w:rsidRPr="00822B0A" w:rsidTr="00D816E6">
        <w:trPr>
          <w:trHeight w:hRule="exact" w:val="340"/>
          <w:jc w:val="center"/>
        </w:trPr>
        <w:tc>
          <w:tcPr>
            <w:tcW w:w="5069" w:type="dxa"/>
            <w:shd w:val="clear" w:color="auto" w:fill="6E9ECA"/>
            <w:vAlign w:val="center"/>
            <w:hideMark/>
          </w:tcPr>
          <w:p w:rsidR="00FE7FEB" w:rsidRPr="00822B0A" w:rsidRDefault="00FE7FEB" w:rsidP="00D816E6">
            <w:pPr>
              <w:spacing w:after="0"/>
              <w:jc w:val="center"/>
              <w:rPr>
                <w:b/>
                <w:bCs/>
                <w:color w:val="FFFFFF" w:themeColor="background1"/>
              </w:rPr>
            </w:pPr>
            <w:r w:rsidRPr="00822B0A">
              <w:rPr>
                <w:b/>
                <w:bCs/>
                <w:color w:val="FFFFFF" w:themeColor="background1"/>
              </w:rPr>
              <w:t>Points</w:t>
            </w:r>
          </w:p>
        </w:tc>
        <w:tc>
          <w:tcPr>
            <w:tcW w:w="1640" w:type="dxa"/>
            <w:shd w:val="clear" w:color="auto" w:fill="6E9ECA"/>
            <w:vAlign w:val="center"/>
            <w:hideMark/>
          </w:tcPr>
          <w:p w:rsidR="00FE7FEB" w:rsidRPr="00822B0A" w:rsidRDefault="00FE7FEB" w:rsidP="00D816E6">
            <w:pPr>
              <w:spacing w:after="0"/>
              <w:jc w:val="center"/>
              <w:rPr>
                <w:b/>
                <w:bCs/>
                <w:color w:val="FFFFFF" w:themeColor="background1"/>
              </w:rPr>
            </w:pPr>
            <w:r w:rsidRPr="00822B0A">
              <w:rPr>
                <w:b/>
                <w:bCs/>
                <w:color w:val="FFFFFF" w:themeColor="background1"/>
              </w:rPr>
              <w:t>(TL/Sm</w:t>
            </w:r>
            <w:r w:rsidRPr="00822B0A">
              <w:rPr>
                <w:b/>
                <w:bCs/>
                <w:color w:val="FFFFFF" w:themeColor="background1"/>
                <w:vertAlign w:val="superscript"/>
              </w:rPr>
              <w:t>3</w:t>
            </w:r>
            <w:r w:rsidRPr="00822B0A">
              <w:rPr>
                <w:b/>
                <w:bCs/>
                <w:color w:val="FFFFFF" w:themeColor="background1"/>
              </w:rPr>
              <w:t>-day)</w:t>
            </w:r>
          </w:p>
        </w:tc>
        <w:tc>
          <w:tcPr>
            <w:tcW w:w="1886" w:type="dxa"/>
            <w:shd w:val="clear" w:color="auto" w:fill="6E9ECA"/>
            <w:vAlign w:val="center"/>
            <w:hideMark/>
          </w:tcPr>
          <w:p w:rsidR="00FE7FEB" w:rsidRPr="00822B0A" w:rsidRDefault="00FE7FEB" w:rsidP="00D816E6">
            <w:pPr>
              <w:spacing w:after="0"/>
              <w:jc w:val="center"/>
              <w:rPr>
                <w:b/>
                <w:bCs/>
                <w:color w:val="FFFFFF" w:themeColor="background1"/>
              </w:rPr>
            </w:pPr>
            <w:r w:rsidRPr="00822B0A">
              <w:rPr>
                <w:b/>
                <w:bCs/>
                <w:color w:val="FFFFFF" w:themeColor="background1"/>
              </w:rPr>
              <w:t>(TL/kWhday)</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1 (Malkoçlar)</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0,0003</w:t>
            </w:r>
            <w:r>
              <w:rPr>
                <w:color w:val="000000" w:themeColor="text1"/>
              </w:rPr>
              <w:t>37</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0,00003167</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2 (M. Ereğlisi LNG Terminali)</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189</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0,00001776</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3 (Durusu)</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406</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0,00003816</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4 (Doğubeyazıt-Gürbulak)</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459</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0,00004314</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5 (Azerbaycan-Türkgözü)</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572</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0,00005376</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6 (EGEGAS Aliağa LNG)</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165</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0,00001551</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7 (Silivri Depo)</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101</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0,00000949</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8 (TP Akçakoca)</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310</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0,00002914</w:t>
            </w:r>
          </w:p>
        </w:tc>
      </w:tr>
      <w:tr w:rsidR="00FE7FEB" w:rsidRPr="00822B0A" w:rsidTr="00D816E6">
        <w:trPr>
          <w:trHeight w:hRule="exact" w:val="284"/>
          <w:jc w:val="center"/>
        </w:trPr>
        <w:tc>
          <w:tcPr>
            <w:tcW w:w="5069" w:type="dxa"/>
            <w:shd w:val="clear" w:color="auto" w:fill="auto"/>
            <w:noWrap/>
            <w:vAlign w:val="center"/>
            <w:hideMark/>
          </w:tcPr>
          <w:p w:rsidR="00FE7FEB" w:rsidRPr="00822B0A" w:rsidRDefault="00FE7FEB" w:rsidP="00D816E6">
            <w:pPr>
              <w:spacing w:after="0"/>
              <w:jc w:val="both"/>
              <w:rPr>
                <w:color w:val="000000" w:themeColor="text1"/>
              </w:rPr>
            </w:pPr>
            <w:r w:rsidRPr="00822B0A">
              <w:rPr>
                <w:color w:val="000000" w:themeColor="text1"/>
              </w:rPr>
              <w:t>Entry 9 (TEMİ)</w:t>
            </w:r>
          </w:p>
        </w:tc>
        <w:tc>
          <w:tcPr>
            <w:tcW w:w="1640" w:type="dxa"/>
            <w:shd w:val="clear" w:color="auto" w:fill="auto"/>
            <w:noWrap/>
            <w:vAlign w:val="center"/>
            <w:hideMark/>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310</w:t>
            </w:r>
          </w:p>
        </w:tc>
        <w:tc>
          <w:tcPr>
            <w:tcW w:w="1886" w:type="dxa"/>
            <w:shd w:val="clear" w:color="auto" w:fill="auto"/>
            <w:noWrap/>
            <w:vAlign w:val="center"/>
            <w:hideMark/>
          </w:tcPr>
          <w:p w:rsidR="00FE7FEB" w:rsidRPr="00822B0A" w:rsidRDefault="00FE7FEB" w:rsidP="00D816E6">
            <w:pPr>
              <w:spacing w:after="0"/>
              <w:jc w:val="center"/>
              <w:rPr>
                <w:color w:val="000000" w:themeColor="text1"/>
              </w:rPr>
            </w:pPr>
            <w:r>
              <w:rPr>
                <w:color w:val="000000" w:themeColor="text1"/>
              </w:rPr>
              <w:t>0,00002914</w:t>
            </w:r>
          </w:p>
        </w:tc>
      </w:tr>
      <w:tr w:rsidR="00FE7FEB" w:rsidRPr="00822B0A" w:rsidTr="00D816E6">
        <w:trPr>
          <w:trHeight w:hRule="exact" w:val="284"/>
          <w:jc w:val="center"/>
        </w:trPr>
        <w:tc>
          <w:tcPr>
            <w:tcW w:w="5069" w:type="dxa"/>
            <w:shd w:val="clear" w:color="auto" w:fill="auto"/>
            <w:noWrap/>
            <w:vAlign w:val="center"/>
          </w:tcPr>
          <w:p w:rsidR="00FE7FEB" w:rsidRPr="00822B0A" w:rsidRDefault="00FE7FEB" w:rsidP="00D816E6">
            <w:pPr>
              <w:spacing w:after="0"/>
              <w:jc w:val="both"/>
              <w:rPr>
                <w:color w:val="000000" w:themeColor="text1"/>
              </w:rPr>
            </w:pPr>
            <w:r w:rsidRPr="00822B0A">
              <w:rPr>
                <w:color w:val="000000" w:themeColor="text1"/>
              </w:rPr>
              <w:t>Entry 10 (ETKİ Aliağa FSRU)</w:t>
            </w:r>
          </w:p>
        </w:tc>
        <w:tc>
          <w:tcPr>
            <w:tcW w:w="1640" w:type="dxa"/>
            <w:shd w:val="clear" w:color="auto" w:fill="auto"/>
            <w:noWrap/>
            <w:vAlign w:val="center"/>
          </w:tcPr>
          <w:p w:rsidR="00FE7FEB" w:rsidRPr="00822B0A" w:rsidRDefault="00FE7FEB" w:rsidP="00D816E6">
            <w:pPr>
              <w:spacing w:after="0"/>
              <w:jc w:val="center"/>
              <w:rPr>
                <w:color w:val="000000" w:themeColor="text1"/>
              </w:rPr>
            </w:pPr>
            <w:r w:rsidRPr="00822B0A">
              <w:rPr>
                <w:color w:val="000000" w:themeColor="text1"/>
              </w:rPr>
              <w:t>0,0002</w:t>
            </w:r>
            <w:r>
              <w:rPr>
                <w:color w:val="000000" w:themeColor="text1"/>
              </w:rPr>
              <w:t>88</w:t>
            </w:r>
          </w:p>
        </w:tc>
        <w:tc>
          <w:tcPr>
            <w:tcW w:w="1886"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0,00002707</w:t>
            </w:r>
          </w:p>
        </w:tc>
      </w:tr>
      <w:tr w:rsidR="00FE7FEB" w:rsidRPr="00822B0A" w:rsidTr="00D816E6">
        <w:trPr>
          <w:trHeight w:hRule="exact" w:val="284"/>
          <w:jc w:val="center"/>
        </w:trPr>
        <w:tc>
          <w:tcPr>
            <w:tcW w:w="5069" w:type="dxa"/>
            <w:shd w:val="clear" w:color="auto" w:fill="auto"/>
            <w:noWrap/>
            <w:vAlign w:val="center"/>
          </w:tcPr>
          <w:p w:rsidR="00FE7FEB" w:rsidRPr="00822B0A" w:rsidRDefault="00FE7FEB" w:rsidP="00D816E6">
            <w:pPr>
              <w:spacing w:after="0"/>
              <w:jc w:val="both"/>
              <w:rPr>
                <w:color w:val="000000" w:themeColor="text1"/>
              </w:rPr>
            </w:pPr>
            <w:r w:rsidRPr="00822B0A">
              <w:rPr>
                <w:color w:val="000000" w:themeColor="text1"/>
              </w:rPr>
              <w:t>Entry 11 (Tuz Gölü Depo)</w:t>
            </w:r>
          </w:p>
        </w:tc>
        <w:tc>
          <w:tcPr>
            <w:tcW w:w="1640" w:type="dxa"/>
            <w:shd w:val="clear" w:color="auto" w:fill="auto"/>
            <w:noWrap/>
            <w:vAlign w:val="center"/>
          </w:tcPr>
          <w:p w:rsidR="00FE7FEB" w:rsidRPr="00822B0A" w:rsidRDefault="00FE7FEB" w:rsidP="00D816E6">
            <w:pPr>
              <w:spacing w:after="0"/>
              <w:jc w:val="center"/>
              <w:rPr>
                <w:color w:val="000000" w:themeColor="text1"/>
              </w:rPr>
            </w:pPr>
            <w:r w:rsidRPr="00822B0A">
              <w:rPr>
                <w:color w:val="000000" w:themeColor="text1"/>
              </w:rPr>
              <w:t>0,0000</w:t>
            </w:r>
            <w:r>
              <w:rPr>
                <w:color w:val="000000" w:themeColor="text1"/>
              </w:rPr>
              <w:t>50</w:t>
            </w:r>
          </w:p>
        </w:tc>
        <w:tc>
          <w:tcPr>
            <w:tcW w:w="1886"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0,00000470</w:t>
            </w:r>
          </w:p>
        </w:tc>
      </w:tr>
      <w:tr w:rsidR="00FE7FEB" w:rsidRPr="00822B0A" w:rsidTr="00D816E6">
        <w:trPr>
          <w:trHeight w:hRule="exact" w:val="284"/>
          <w:jc w:val="center"/>
        </w:trPr>
        <w:tc>
          <w:tcPr>
            <w:tcW w:w="5069" w:type="dxa"/>
            <w:shd w:val="clear" w:color="auto" w:fill="auto"/>
            <w:noWrap/>
            <w:vAlign w:val="center"/>
          </w:tcPr>
          <w:p w:rsidR="00FE7FEB" w:rsidRPr="00822B0A" w:rsidRDefault="00FE7FEB" w:rsidP="00D816E6">
            <w:pPr>
              <w:spacing w:after="0"/>
              <w:jc w:val="both"/>
              <w:rPr>
                <w:color w:val="000000" w:themeColor="text1"/>
              </w:rPr>
            </w:pPr>
            <w:r w:rsidRPr="00822B0A">
              <w:rPr>
                <w:color w:val="000000" w:themeColor="text1"/>
              </w:rPr>
              <w:t>Entry 12 (MARSA Gelibolu)</w:t>
            </w:r>
          </w:p>
        </w:tc>
        <w:tc>
          <w:tcPr>
            <w:tcW w:w="1640" w:type="dxa"/>
            <w:shd w:val="clear" w:color="auto" w:fill="auto"/>
            <w:noWrap/>
            <w:vAlign w:val="center"/>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171</w:t>
            </w:r>
          </w:p>
        </w:tc>
        <w:tc>
          <w:tcPr>
            <w:tcW w:w="1886"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0,00001607</w:t>
            </w:r>
          </w:p>
        </w:tc>
      </w:tr>
      <w:tr w:rsidR="00FE7FEB" w:rsidRPr="00822B0A" w:rsidTr="00D816E6">
        <w:trPr>
          <w:trHeight w:hRule="exact" w:val="284"/>
          <w:jc w:val="center"/>
        </w:trPr>
        <w:tc>
          <w:tcPr>
            <w:tcW w:w="5069" w:type="dxa"/>
            <w:shd w:val="clear" w:color="auto" w:fill="auto"/>
            <w:noWrap/>
            <w:vAlign w:val="center"/>
          </w:tcPr>
          <w:p w:rsidR="00FE7FEB" w:rsidRPr="00822B0A" w:rsidRDefault="00FE7FEB" w:rsidP="00D816E6">
            <w:pPr>
              <w:spacing w:after="0"/>
              <w:jc w:val="both"/>
              <w:rPr>
                <w:color w:val="000000" w:themeColor="text1"/>
              </w:rPr>
            </w:pPr>
            <w:r w:rsidRPr="00822B0A">
              <w:rPr>
                <w:color w:val="000000" w:themeColor="text1"/>
              </w:rPr>
              <w:t>Entry 13 (Dörtyol FSRU)</w:t>
            </w:r>
          </w:p>
        </w:tc>
        <w:tc>
          <w:tcPr>
            <w:tcW w:w="1640" w:type="dxa"/>
            <w:shd w:val="clear" w:color="auto" w:fill="auto"/>
            <w:noWrap/>
            <w:vAlign w:val="center"/>
          </w:tcPr>
          <w:p w:rsidR="00FE7FEB" w:rsidRPr="00822B0A" w:rsidRDefault="00FE7FEB" w:rsidP="00D816E6">
            <w:pPr>
              <w:spacing w:after="0"/>
              <w:jc w:val="center"/>
              <w:rPr>
                <w:color w:val="000000" w:themeColor="text1"/>
              </w:rPr>
            </w:pPr>
            <w:r w:rsidRPr="00822B0A">
              <w:rPr>
                <w:color w:val="000000" w:themeColor="text1"/>
              </w:rPr>
              <w:t>0,000</w:t>
            </w:r>
            <w:r>
              <w:rPr>
                <w:color w:val="000000" w:themeColor="text1"/>
              </w:rPr>
              <w:t>069</w:t>
            </w:r>
          </w:p>
        </w:tc>
        <w:tc>
          <w:tcPr>
            <w:tcW w:w="1886"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0,00000648</w:t>
            </w:r>
          </w:p>
        </w:tc>
      </w:tr>
      <w:tr w:rsidR="00FE7FEB" w:rsidRPr="00822B0A" w:rsidTr="00D816E6">
        <w:trPr>
          <w:trHeight w:hRule="exact" w:val="284"/>
          <w:jc w:val="center"/>
        </w:trPr>
        <w:tc>
          <w:tcPr>
            <w:tcW w:w="5069" w:type="dxa"/>
            <w:shd w:val="clear" w:color="auto" w:fill="auto"/>
            <w:noWrap/>
            <w:vAlign w:val="center"/>
          </w:tcPr>
          <w:p w:rsidR="00FE7FEB" w:rsidRPr="00822B0A" w:rsidRDefault="00FE7FEB" w:rsidP="00D816E6">
            <w:pPr>
              <w:spacing w:after="0"/>
              <w:jc w:val="both"/>
              <w:rPr>
                <w:color w:val="000000" w:themeColor="text1"/>
              </w:rPr>
            </w:pPr>
            <w:r w:rsidRPr="00822B0A">
              <w:rPr>
                <w:color w:val="000000" w:themeColor="text1"/>
              </w:rPr>
              <w:t>Entry 14 (TANAP Seyit</w:t>
            </w:r>
            <w:r>
              <w:rPr>
                <w:color w:val="000000" w:themeColor="text1"/>
              </w:rPr>
              <w:t>gazi</w:t>
            </w:r>
            <w:r w:rsidRPr="00822B0A">
              <w:rPr>
                <w:color w:val="000000" w:themeColor="text1"/>
              </w:rPr>
              <w:t>)</w:t>
            </w:r>
          </w:p>
        </w:tc>
        <w:tc>
          <w:tcPr>
            <w:tcW w:w="1640" w:type="dxa"/>
            <w:shd w:val="clear" w:color="auto" w:fill="auto"/>
            <w:noWrap/>
            <w:vAlign w:val="center"/>
          </w:tcPr>
          <w:p w:rsidR="00FE7FEB" w:rsidRPr="00822B0A" w:rsidRDefault="00FE7FEB" w:rsidP="00D816E6">
            <w:pPr>
              <w:spacing w:after="0"/>
              <w:jc w:val="center"/>
              <w:rPr>
                <w:color w:val="000000" w:themeColor="text1"/>
              </w:rPr>
            </w:pPr>
            <w:r w:rsidRPr="00822B0A">
              <w:rPr>
                <w:color w:val="000000" w:themeColor="text1"/>
              </w:rPr>
              <w:t>0,00</w:t>
            </w:r>
            <w:r>
              <w:rPr>
                <w:color w:val="000000" w:themeColor="text1"/>
              </w:rPr>
              <w:t>0431</w:t>
            </w:r>
          </w:p>
        </w:tc>
        <w:tc>
          <w:tcPr>
            <w:tcW w:w="1886"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0,00004051</w:t>
            </w:r>
          </w:p>
        </w:tc>
      </w:tr>
      <w:tr w:rsidR="00FE7FEB" w:rsidRPr="00822B0A" w:rsidTr="00D816E6">
        <w:trPr>
          <w:trHeight w:hRule="exact" w:val="284"/>
          <w:jc w:val="center"/>
        </w:trPr>
        <w:tc>
          <w:tcPr>
            <w:tcW w:w="5069" w:type="dxa"/>
            <w:shd w:val="clear" w:color="auto" w:fill="auto"/>
            <w:noWrap/>
            <w:vAlign w:val="center"/>
          </w:tcPr>
          <w:p w:rsidR="00FE7FEB" w:rsidRPr="00822B0A" w:rsidRDefault="00FE7FEB" w:rsidP="00D816E6">
            <w:pPr>
              <w:spacing w:after="0"/>
              <w:jc w:val="both"/>
              <w:rPr>
                <w:color w:val="000000" w:themeColor="text1"/>
              </w:rPr>
            </w:pPr>
            <w:r w:rsidRPr="00822B0A">
              <w:rPr>
                <w:color w:val="000000" w:themeColor="text1"/>
              </w:rPr>
              <w:t>Exit</w:t>
            </w:r>
          </w:p>
        </w:tc>
        <w:tc>
          <w:tcPr>
            <w:tcW w:w="1640"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0,014428</w:t>
            </w:r>
          </w:p>
        </w:tc>
        <w:tc>
          <w:tcPr>
            <w:tcW w:w="1886"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0,00135602</w:t>
            </w:r>
          </w:p>
        </w:tc>
      </w:tr>
      <w:tr w:rsidR="00FE7FEB" w:rsidRPr="00822B0A" w:rsidTr="00D816E6">
        <w:trPr>
          <w:trHeight w:hRule="exact" w:val="284"/>
          <w:jc w:val="center"/>
        </w:trPr>
        <w:tc>
          <w:tcPr>
            <w:tcW w:w="5069" w:type="dxa"/>
            <w:shd w:val="clear" w:color="auto" w:fill="auto"/>
            <w:noWrap/>
            <w:vAlign w:val="center"/>
          </w:tcPr>
          <w:p w:rsidR="00FE7FEB" w:rsidRPr="00822B0A" w:rsidRDefault="00FE7FEB" w:rsidP="00D816E6">
            <w:pPr>
              <w:spacing w:after="0"/>
              <w:jc w:val="both"/>
              <w:rPr>
                <w:color w:val="000000" w:themeColor="text1"/>
              </w:rPr>
            </w:pPr>
            <w:r w:rsidRPr="00822B0A">
              <w:rPr>
                <w:color w:val="000000" w:themeColor="text1"/>
              </w:rPr>
              <w:t>Export Exit Point (Greece)</w:t>
            </w:r>
          </w:p>
        </w:tc>
        <w:tc>
          <w:tcPr>
            <w:tcW w:w="1640"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0,063098</w:t>
            </w:r>
          </w:p>
        </w:tc>
        <w:tc>
          <w:tcPr>
            <w:tcW w:w="1886" w:type="dxa"/>
            <w:shd w:val="clear" w:color="auto" w:fill="auto"/>
            <w:noWrap/>
            <w:vAlign w:val="center"/>
          </w:tcPr>
          <w:p w:rsidR="00FE7FEB" w:rsidRPr="00822B0A" w:rsidRDefault="00FE7FEB" w:rsidP="00D816E6">
            <w:pPr>
              <w:spacing w:after="0"/>
              <w:jc w:val="center"/>
              <w:rPr>
                <w:color w:val="000000" w:themeColor="text1"/>
              </w:rPr>
            </w:pPr>
            <w:r>
              <w:rPr>
                <w:color w:val="000000" w:themeColor="text1"/>
              </w:rPr>
              <w:t>0,00593026</w:t>
            </w:r>
          </w:p>
        </w:tc>
      </w:tr>
    </w:tbl>
    <w:p w:rsidR="00FE7FEB" w:rsidRPr="00822B0A" w:rsidRDefault="00FE7FEB" w:rsidP="00FE7FEB">
      <w:pPr>
        <w:spacing w:after="0"/>
        <w:jc w:val="both"/>
        <w:rPr>
          <w:color w:val="000000" w:themeColor="text1"/>
        </w:rPr>
      </w:pPr>
    </w:p>
    <w:p w:rsidR="00FE7FEB" w:rsidRDefault="00FE7FEB" w:rsidP="00FE7FEB">
      <w:pPr>
        <w:spacing w:after="120" w:line="240" w:lineRule="auto"/>
        <w:jc w:val="both"/>
        <w:rPr>
          <w:color w:val="000000" w:themeColor="text1"/>
        </w:rPr>
      </w:pPr>
      <w:r w:rsidRPr="00822B0A">
        <w:rPr>
          <w:color w:val="000000" w:themeColor="text1"/>
        </w:rPr>
        <w:t>With the same Board Decision transmission service fee upper limit of BOTAŞ was determined as follows;</w:t>
      </w:r>
    </w:p>
    <w:p w:rsidR="00FE7FEB" w:rsidRDefault="00FE7FEB" w:rsidP="00FE7FEB"/>
    <w:p w:rsidR="00FE7FEB" w:rsidRPr="00542DD6" w:rsidRDefault="00FE7FEB" w:rsidP="00542DD6">
      <w:pPr>
        <w:pStyle w:val="Balk5"/>
        <w:rPr>
          <w:rStyle w:val="Gl"/>
          <w:b/>
          <w:bCs w:val="0"/>
        </w:rPr>
      </w:pPr>
      <w:bookmarkStart w:id="223" w:name="_Toc505346196"/>
      <w:bookmarkStart w:id="224" w:name="_Toc512874160"/>
      <w:bookmarkStart w:id="225" w:name="_Toc12958505"/>
      <w:r w:rsidRPr="00542DD6">
        <w:rPr>
          <w:rStyle w:val="Gl"/>
          <w:b/>
          <w:bCs w:val="0"/>
        </w:rPr>
        <w:t>Table 4.23: Transmission Service Fee Upper Limit of BOTAŞ</w:t>
      </w:r>
      <w:bookmarkEnd w:id="223"/>
      <w:bookmarkEnd w:id="224"/>
      <w:bookmarkEnd w:id="225"/>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FE7FEB" w:rsidRPr="00822B0A" w:rsidTr="00D816E6">
        <w:trPr>
          <w:trHeight w:hRule="exact" w:val="284"/>
          <w:jc w:val="center"/>
        </w:trPr>
        <w:tc>
          <w:tcPr>
            <w:tcW w:w="3076" w:type="dxa"/>
            <w:shd w:val="clear" w:color="auto" w:fill="6E9ECA"/>
            <w:vAlign w:val="center"/>
            <w:hideMark/>
          </w:tcPr>
          <w:p w:rsidR="00FE7FEB" w:rsidRPr="00822B0A" w:rsidRDefault="00FE7FEB" w:rsidP="00D816E6">
            <w:pPr>
              <w:jc w:val="both"/>
              <w:rPr>
                <w:b/>
                <w:bCs/>
                <w:color w:val="FFFFFF" w:themeColor="background1"/>
              </w:rPr>
            </w:pPr>
          </w:p>
        </w:tc>
        <w:tc>
          <w:tcPr>
            <w:tcW w:w="1640" w:type="dxa"/>
            <w:shd w:val="clear" w:color="auto" w:fill="6E9ECA"/>
            <w:vAlign w:val="center"/>
            <w:hideMark/>
          </w:tcPr>
          <w:p w:rsidR="00FE7FEB" w:rsidRPr="00822B0A" w:rsidRDefault="00FE7FEB" w:rsidP="00D816E6">
            <w:pPr>
              <w:jc w:val="center"/>
              <w:rPr>
                <w:b/>
                <w:bCs/>
                <w:color w:val="FFFFFF" w:themeColor="background1"/>
              </w:rPr>
            </w:pPr>
            <w:r w:rsidRPr="00822B0A">
              <w:rPr>
                <w:b/>
                <w:bCs/>
                <w:color w:val="FFFFFF" w:themeColor="background1"/>
              </w:rPr>
              <w:t>(TL/Sm</w:t>
            </w:r>
            <w:r w:rsidRPr="00822B0A">
              <w:rPr>
                <w:b/>
                <w:bCs/>
                <w:color w:val="FFFFFF" w:themeColor="background1"/>
                <w:vertAlign w:val="superscript"/>
              </w:rPr>
              <w:t>3</w:t>
            </w:r>
            <w:r w:rsidRPr="00822B0A">
              <w:rPr>
                <w:b/>
                <w:bCs/>
                <w:color w:val="FFFFFF" w:themeColor="background1"/>
              </w:rPr>
              <w:t>)</w:t>
            </w:r>
          </w:p>
        </w:tc>
        <w:tc>
          <w:tcPr>
            <w:tcW w:w="1886" w:type="dxa"/>
            <w:shd w:val="clear" w:color="auto" w:fill="6E9ECA"/>
            <w:vAlign w:val="center"/>
            <w:hideMark/>
          </w:tcPr>
          <w:p w:rsidR="00FE7FEB" w:rsidRPr="00822B0A" w:rsidRDefault="00FE7FEB" w:rsidP="00D816E6">
            <w:pPr>
              <w:jc w:val="center"/>
              <w:rPr>
                <w:b/>
                <w:bCs/>
                <w:color w:val="FFFFFF" w:themeColor="background1"/>
              </w:rPr>
            </w:pPr>
            <w:r w:rsidRPr="00822B0A">
              <w:rPr>
                <w:b/>
                <w:bCs/>
                <w:color w:val="FFFFFF" w:themeColor="background1"/>
              </w:rPr>
              <w:t>(TL/kWh)</w:t>
            </w:r>
          </w:p>
        </w:tc>
      </w:tr>
      <w:tr w:rsidR="00FE7FEB" w:rsidRPr="00822B0A" w:rsidTr="00D816E6">
        <w:trPr>
          <w:trHeight w:hRule="exact" w:val="284"/>
          <w:jc w:val="center"/>
        </w:trPr>
        <w:tc>
          <w:tcPr>
            <w:tcW w:w="3076" w:type="dxa"/>
            <w:shd w:val="clear" w:color="auto" w:fill="auto"/>
            <w:noWrap/>
            <w:vAlign w:val="center"/>
            <w:hideMark/>
          </w:tcPr>
          <w:p w:rsidR="00FE7FEB" w:rsidRPr="00822B0A" w:rsidRDefault="00FE7FEB" w:rsidP="00D816E6">
            <w:pPr>
              <w:jc w:val="both"/>
              <w:rPr>
                <w:color w:val="000000" w:themeColor="text1"/>
              </w:rPr>
            </w:pPr>
            <w:r w:rsidRPr="00822B0A">
              <w:rPr>
                <w:color w:val="000000" w:themeColor="text1"/>
              </w:rPr>
              <w:t>Transmission Service Fee</w:t>
            </w:r>
          </w:p>
        </w:tc>
        <w:tc>
          <w:tcPr>
            <w:tcW w:w="1640" w:type="dxa"/>
            <w:shd w:val="clear" w:color="auto" w:fill="auto"/>
            <w:noWrap/>
            <w:vAlign w:val="center"/>
            <w:hideMark/>
          </w:tcPr>
          <w:p w:rsidR="00FE7FEB" w:rsidRPr="00822B0A" w:rsidRDefault="00FE7FEB" w:rsidP="00D816E6">
            <w:pPr>
              <w:jc w:val="center"/>
              <w:rPr>
                <w:color w:val="000000" w:themeColor="text1"/>
              </w:rPr>
            </w:pPr>
            <w:r>
              <w:rPr>
                <w:color w:val="000000" w:themeColor="text1"/>
              </w:rPr>
              <w:t>0,023800</w:t>
            </w:r>
          </w:p>
        </w:tc>
        <w:tc>
          <w:tcPr>
            <w:tcW w:w="1886" w:type="dxa"/>
            <w:shd w:val="clear" w:color="auto" w:fill="auto"/>
            <w:noWrap/>
            <w:vAlign w:val="center"/>
            <w:hideMark/>
          </w:tcPr>
          <w:p w:rsidR="00FE7FEB" w:rsidRPr="00822B0A" w:rsidRDefault="00FE7FEB" w:rsidP="00D816E6">
            <w:pPr>
              <w:jc w:val="center"/>
              <w:rPr>
                <w:color w:val="000000" w:themeColor="text1"/>
              </w:rPr>
            </w:pPr>
            <w:r>
              <w:rPr>
                <w:color w:val="000000" w:themeColor="text1"/>
              </w:rPr>
              <w:t>0,00223684</w:t>
            </w:r>
          </w:p>
        </w:tc>
      </w:tr>
    </w:tbl>
    <w:p w:rsidR="00FE7FEB" w:rsidRDefault="00FE7FEB" w:rsidP="00FE7FEB"/>
    <w:p w:rsidR="00FE7FEB" w:rsidRDefault="00FE7FEB" w:rsidP="00FE7FEB">
      <w:pPr>
        <w:spacing w:after="120" w:line="240" w:lineRule="auto"/>
        <w:jc w:val="both"/>
        <w:rPr>
          <w:color w:val="000000" w:themeColor="text1"/>
        </w:rPr>
      </w:pPr>
      <w:r w:rsidRPr="00822B0A">
        <w:rPr>
          <w:color w:val="000000" w:themeColor="text1"/>
        </w:rPr>
        <w:t xml:space="preserve">In the Board Decision dated 29/12/2016 and numbered 6820, within the scope of the “Principles and Procedures for Determining the Revenue Caps to be taken as basis to the Tariffs of natural Gas Transmission License Holding Companies” adopted by the Board Decision dated 03/10/2013 and numbered 4638-1; decision was taken regarding the annual revenue requirements to be the basis for transmission and shipping control tariffs for the second implementation period of BOTAŞ, the holder of the transmission license dated 23/05/2003 and numbered and the decision was published in the Official Gazette dated 31/12/2016 and numbered 29935. With the said decision, the second implementation period for the transmission and shipping tariffs of BOTAŞ was determined as 2017-2019.   The real reasonable rate of return for transmission and shipping tariffs was determined as 11,42% (before tax), net real reasonable rate of return was determined as 10,803 (before tax). Annual investment cap and revenue requirements of BOTAŞ for the second implementation period are given in the tables hereunder;  </w:t>
      </w:r>
    </w:p>
    <w:p w:rsidR="00FE7FEB" w:rsidRDefault="00FE7FEB" w:rsidP="00FE7FEB"/>
    <w:p w:rsidR="00FE7FEB" w:rsidRPr="00542DD6" w:rsidRDefault="00FE7FEB" w:rsidP="00542DD6">
      <w:pPr>
        <w:pStyle w:val="Balk5"/>
        <w:rPr>
          <w:rStyle w:val="Gl"/>
          <w:b/>
          <w:bCs w:val="0"/>
        </w:rPr>
      </w:pPr>
      <w:bookmarkStart w:id="226" w:name="_Toc505346197"/>
      <w:bookmarkStart w:id="227" w:name="_Toc512874161"/>
      <w:bookmarkStart w:id="228" w:name="_Toc12958506"/>
      <w:r w:rsidRPr="00542DD6">
        <w:rPr>
          <w:rStyle w:val="Gl"/>
          <w:b/>
          <w:bCs w:val="0"/>
        </w:rPr>
        <w:t>Table 4.24: Investment Cap of BOTAŞ for second implementation perio</w:t>
      </w:r>
      <w:bookmarkEnd w:id="226"/>
      <w:bookmarkEnd w:id="227"/>
      <w:r w:rsidRPr="00542DD6">
        <w:rPr>
          <w:rStyle w:val="Gl"/>
          <w:b/>
          <w:bCs w:val="0"/>
        </w:rPr>
        <w:t>d</w:t>
      </w:r>
      <w:bookmarkEnd w:id="228"/>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835"/>
        <w:gridCol w:w="1242"/>
        <w:gridCol w:w="1940"/>
        <w:gridCol w:w="2051"/>
      </w:tblGrid>
      <w:tr w:rsidR="00FE7FEB" w:rsidRPr="00822B0A" w:rsidTr="00216EDE">
        <w:tc>
          <w:tcPr>
            <w:tcW w:w="2835" w:type="dxa"/>
            <w:shd w:val="clear" w:color="auto" w:fill="6E9ECA"/>
          </w:tcPr>
          <w:p w:rsidR="00FE7FEB" w:rsidRPr="00822B0A" w:rsidRDefault="00FE7FEB" w:rsidP="00D816E6">
            <w:pPr>
              <w:jc w:val="both"/>
              <w:rPr>
                <w:color w:val="FFFFFF" w:themeColor="background1"/>
              </w:rPr>
            </w:pPr>
          </w:p>
        </w:tc>
        <w:tc>
          <w:tcPr>
            <w:tcW w:w="1242" w:type="dxa"/>
            <w:shd w:val="clear" w:color="auto" w:fill="6E9ECA"/>
          </w:tcPr>
          <w:p w:rsidR="00FE7FEB" w:rsidRPr="00822B0A" w:rsidRDefault="00FE7FEB" w:rsidP="00D816E6">
            <w:pPr>
              <w:jc w:val="center"/>
              <w:rPr>
                <w:b/>
                <w:color w:val="FFFFFF" w:themeColor="background1"/>
              </w:rPr>
            </w:pPr>
            <w:r w:rsidRPr="00822B0A">
              <w:rPr>
                <w:b/>
                <w:color w:val="FFFFFF" w:themeColor="background1"/>
              </w:rPr>
              <w:t>2017</w:t>
            </w:r>
          </w:p>
        </w:tc>
        <w:tc>
          <w:tcPr>
            <w:tcW w:w="1940" w:type="dxa"/>
            <w:shd w:val="clear" w:color="auto" w:fill="6E9ECA"/>
          </w:tcPr>
          <w:p w:rsidR="00FE7FEB" w:rsidRPr="00822B0A" w:rsidRDefault="00FE7FEB" w:rsidP="00D816E6">
            <w:pPr>
              <w:jc w:val="center"/>
              <w:rPr>
                <w:b/>
                <w:color w:val="FFFFFF" w:themeColor="background1"/>
              </w:rPr>
            </w:pPr>
            <w:r w:rsidRPr="00822B0A">
              <w:rPr>
                <w:b/>
                <w:color w:val="FFFFFF" w:themeColor="background1"/>
              </w:rPr>
              <w:t>2018</w:t>
            </w:r>
          </w:p>
        </w:tc>
        <w:tc>
          <w:tcPr>
            <w:tcW w:w="2051" w:type="dxa"/>
            <w:shd w:val="clear" w:color="auto" w:fill="6E9ECA"/>
          </w:tcPr>
          <w:p w:rsidR="00FE7FEB" w:rsidRPr="00822B0A" w:rsidRDefault="00FE7FEB" w:rsidP="00D816E6">
            <w:pPr>
              <w:jc w:val="center"/>
              <w:rPr>
                <w:b/>
                <w:color w:val="FFFFFF" w:themeColor="background1"/>
              </w:rPr>
            </w:pPr>
            <w:r w:rsidRPr="00822B0A">
              <w:rPr>
                <w:b/>
                <w:color w:val="FFFFFF" w:themeColor="background1"/>
              </w:rPr>
              <w:t>2019</w:t>
            </w:r>
          </w:p>
        </w:tc>
      </w:tr>
      <w:tr w:rsidR="00FE7FEB" w:rsidRPr="00822B0A" w:rsidTr="00216EDE">
        <w:trPr>
          <w:trHeight w:val="283"/>
        </w:trPr>
        <w:tc>
          <w:tcPr>
            <w:tcW w:w="2835" w:type="dxa"/>
          </w:tcPr>
          <w:p w:rsidR="00FE7FEB" w:rsidRPr="00822B0A" w:rsidRDefault="00FE7FEB" w:rsidP="00542DD6">
            <w:pPr>
              <w:rPr>
                <w:color w:val="000000" w:themeColor="text1"/>
                <w:vertAlign w:val="superscript"/>
              </w:rPr>
            </w:pPr>
            <w:r w:rsidRPr="00822B0A">
              <w:rPr>
                <w:color w:val="000000" w:themeColor="text1"/>
              </w:rPr>
              <w:t>Investment</w:t>
            </w:r>
            <w:r w:rsidR="00542DD6">
              <w:rPr>
                <w:color w:val="000000" w:themeColor="text1"/>
              </w:rPr>
              <w:t xml:space="preserve"> </w:t>
            </w:r>
            <w:r w:rsidRPr="00822B0A">
              <w:rPr>
                <w:color w:val="000000" w:themeColor="text1"/>
              </w:rPr>
              <w:t>cap (TL)</w:t>
            </w:r>
            <w:r w:rsidRPr="00822B0A">
              <w:rPr>
                <w:color w:val="000000" w:themeColor="text1"/>
                <w:vertAlign w:val="superscript"/>
              </w:rPr>
              <w:t>1</w:t>
            </w:r>
          </w:p>
        </w:tc>
        <w:tc>
          <w:tcPr>
            <w:tcW w:w="1242" w:type="dxa"/>
          </w:tcPr>
          <w:p w:rsidR="00FE7FEB" w:rsidRPr="00822B0A" w:rsidRDefault="00FE7FEB" w:rsidP="00D816E6">
            <w:pPr>
              <w:jc w:val="center"/>
              <w:rPr>
                <w:color w:val="000000" w:themeColor="text1"/>
              </w:rPr>
            </w:pPr>
            <w:r w:rsidRPr="00822B0A">
              <w:rPr>
                <w:color w:val="000000" w:themeColor="text1"/>
              </w:rPr>
              <w:t>77.551.925</w:t>
            </w:r>
          </w:p>
        </w:tc>
        <w:tc>
          <w:tcPr>
            <w:tcW w:w="1940" w:type="dxa"/>
          </w:tcPr>
          <w:p w:rsidR="00FE7FEB" w:rsidRPr="00822B0A" w:rsidRDefault="00FE7FEB" w:rsidP="00D816E6">
            <w:pPr>
              <w:jc w:val="center"/>
              <w:rPr>
                <w:color w:val="000000" w:themeColor="text1"/>
              </w:rPr>
            </w:pPr>
            <w:r w:rsidRPr="00822B0A">
              <w:rPr>
                <w:color w:val="000000" w:themeColor="text1"/>
              </w:rPr>
              <w:t>95.837.439</w:t>
            </w:r>
          </w:p>
        </w:tc>
        <w:tc>
          <w:tcPr>
            <w:tcW w:w="2051" w:type="dxa"/>
          </w:tcPr>
          <w:p w:rsidR="00FE7FEB" w:rsidRPr="00822B0A" w:rsidRDefault="00FE7FEB" w:rsidP="00D816E6">
            <w:pPr>
              <w:jc w:val="center"/>
              <w:rPr>
                <w:color w:val="000000" w:themeColor="text1"/>
              </w:rPr>
            </w:pPr>
            <w:r w:rsidRPr="00822B0A">
              <w:rPr>
                <w:color w:val="000000" w:themeColor="text1"/>
              </w:rPr>
              <w:t>138.572.034</w:t>
            </w:r>
          </w:p>
        </w:tc>
      </w:tr>
    </w:tbl>
    <w:p w:rsidR="00FE7FEB" w:rsidRDefault="00FE7FEB" w:rsidP="00542DD6">
      <w:pPr>
        <w:ind w:firstLine="708"/>
        <w:jc w:val="both"/>
        <w:rPr>
          <w:color w:val="000000" w:themeColor="text1"/>
          <w:sz w:val="18"/>
        </w:rPr>
      </w:pPr>
      <w:r w:rsidRPr="00822B0A">
        <w:rPr>
          <w:color w:val="000000" w:themeColor="text1"/>
          <w:sz w:val="18"/>
          <w:vertAlign w:val="superscript"/>
        </w:rPr>
        <w:t>1</w:t>
      </w:r>
      <w:r w:rsidRPr="00822B0A">
        <w:rPr>
          <w:color w:val="000000" w:themeColor="text1"/>
          <w:sz w:val="18"/>
        </w:rPr>
        <w:t>These amounts are with PPI =266,1 .</w:t>
      </w:r>
    </w:p>
    <w:p w:rsidR="00FE7FEB" w:rsidRPr="00822B0A" w:rsidRDefault="00FE7FEB" w:rsidP="00FE7FEB">
      <w:pPr>
        <w:jc w:val="both"/>
        <w:rPr>
          <w:color w:val="000000" w:themeColor="text1"/>
          <w:sz w:val="18"/>
        </w:rPr>
      </w:pPr>
    </w:p>
    <w:p w:rsidR="00FE7FEB" w:rsidRPr="00216EDE" w:rsidRDefault="00FE7FEB" w:rsidP="00216EDE">
      <w:pPr>
        <w:pStyle w:val="Balk5"/>
        <w:rPr>
          <w:rStyle w:val="Gl"/>
          <w:b/>
          <w:bCs w:val="0"/>
        </w:rPr>
      </w:pPr>
      <w:bookmarkStart w:id="229" w:name="_Toc505346198"/>
      <w:bookmarkStart w:id="230" w:name="_Toc512874162"/>
      <w:bookmarkStart w:id="231" w:name="_Toc12958507"/>
      <w:r w:rsidRPr="00216EDE">
        <w:rPr>
          <w:rStyle w:val="Gl"/>
          <w:b/>
          <w:bCs w:val="0"/>
        </w:rPr>
        <w:t>Table 4.25: Revenue requirement of BOTAŞ for second implementation period</w:t>
      </w:r>
      <w:bookmarkEnd w:id="229"/>
      <w:bookmarkEnd w:id="230"/>
      <w:bookmarkEnd w:id="231"/>
    </w:p>
    <w:tbl>
      <w:tblPr>
        <w:tblW w:w="0" w:type="auto"/>
        <w:tblInd w:w="-113"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3227"/>
        <w:gridCol w:w="1846"/>
        <w:gridCol w:w="2218"/>
        <w:gridCol w:w="2218"/>
      </w:tblGrid>
      <w:tr w:rsidR="00FE7FEB" w:rsidRPr="00822B0A" w:rsidTr="00216EDE">
        <w:tc>
          <w:tcPr>
            <w:tcW w:w="3227" w:type="dxa"/>
            <w:shd w:val="clear" w:color="auto" w:fill="6E9ECA"/>
          </w:tcPr>
          <w:p w:rsidR="00FE7FEB" w:rsidRPr="00822B0A" w:rsidRDefault="00FE7FEB" w:rsidP="00D816E6">
            <w:pPr>
              <w:jc w:val="both"/>
              <w:rPr>
                <w:color w:val="FFFFFF" w:themeColor="background1"/>
              </w:rPr>
            </w:pPr>
          </w:p>
        </w:tc>
        <w:tc>
          <w:tcPr>
            <w:tcW w:w="1846" w:type="dxa"/>
            <w:shd w:val="clear" w:color="auto" w:fill="6E9ECA"/>
          </w:tcPr>
          <w:p w:rsidR="00FE7FEB" w:rsidRPr="00822B0A" w:rsidRDefault="00FE7FEB" w:rsidP="00D816E6">
            <w:pPr>
              <w:jc w:val="center"/>
              <w:rPr>
                <w:b/>
                <w:color w:val="FFFFFF" w:themeColor="background1"/>
              </w:rPr>
            </w:pPr>
            <w:r w:rsidRPr="00822B0A">
              <w:rPr>
                <w:b/>
                <w:color w:val="FFFFFF" w:themeColor="background1"/>
              </w:rPr>
              <w:t>2017</w:t>
            </w:r>
          </w:p>
        </w:tc>
        <w:tc>
          <w:tcPr>
            <w:tcW w:w="2218" w:type="dxa"/>
            <w:shd w:val="clear" w:color="auto" w:fill="6E9ECA"/>
          </w:tcPr>
          <w:p w:rsidR="00FE7FEB" w:rsidRPr="00822B0A" w:rsidRDefault="00FE7FEB" w:rsidP="00D816E6">
            <w:pPr>
              <w:jc w:val="center"/>
              <w:rPr>
                <w:b/>
                <w:color w:val="FFFFFF" w:themeColor="background1"/>
              </w:rPr>
            </w:pPr>
            <w:r w:rsidRPr="00822B0A">
              <w:rPr>
                <w:b/>
                <w:color w:val="FFFFFF" w:themeColor="background1"/>
              </w:rPr>
              <w:t>2018</w:t>
            </w:r>
          </w:p>
        </w:tc>
        <w:tc>
          <w:tcPr>
            <w:tcW w:w="2218" w:type="dxa"/>
            <w:shd w:val="clear" w:color="auto" w:fill="6E9ECA"/>
          </w:tcPr>
          <w:p w:rsidR="00FE7FEB" w:rsidRPr="00822B0A" w:rsidRDefault="00FE7FEB" w:rsidP="00D816E6">
            <w:pPr>
              <w:jc w:val="center"/>
              <w:rPr>
                <w:b/>
                <w:color w:val="FFFFFF" w:themeColor="background1"/>
              </w:rPr>
            </w:pPr>
            <w:r w:rsidRPr="00822B0A">
              <w:rPr>
                <w:b/>
                <w:color w:val="FFFFFF" w:themeColor="background1"/>
              </w:rPr>
              <w:t>2019</w:t>
            </w:r>
          </w:p>
        </w:tc>
      </w:tr>
      <w:tr w:rsidR="00FE7FEB" w:rsidRPr="00822B0A" w:rsidTr="00216EDE">
        <w:tc>
          <w:tcPr>
            <w:tcW w:w="3227" w:type="dxa"/>
          </w:tcPr>
          <w:p w:rsidR="00FE7FEB" w:rsidRPr="00822B0A" w:rsidRDefault="00FE7FEB" w:rsidP="00D816E6">
            <w:pPr>
              <w:jc w:val="both"/>
              <w:rPr>
                <w:color w:val="000000" w:themeColor="text1"/>
                <w:vertAlign w:val="superscript"/>
              </w:rPr>
            </w:pPr>
            <w:r w:rsidRPr="00822B0A">
              <w:rPr>
                <w:color w:val="000000" w:themeColor="text1"/>
              </w:rPr>
              <w:t>Revenue requirement (TL)</w:t>
            </w:r>
            <w:r w:rsidRPr="00822B0A">
              <w:rPr>
                <w:color w:val="000000" w:themeColor="text1"/>
                <w:vertAlign w:val="superscript"/>
              </w:rPr>
              <w:t>1</w:t>
            </w:r>
          </w:p>
        </w:tc>
        <w:tc>
          <w:tcPr>
            <w:tcW w:w="1846" w:type="dxa"/>
          </w:tcPr>
          <w:p w:rsidR="00FE7FEB" w:rsidRPr="00822B0A" w:rsidRDefault="00FE7FEB" w:rsidP="00D816E6">
            <w:pPr>
              <w:jc w:val="center"/>
              <w:rPr>
                <w:color w:val="000000" w:themeColor="text1"/>
              </w:rPr>
            </w:pPr>
            <w:r w:rsidRPr="00822B0A">
              <w:rPr>
                <w:color w:val="000000" w:themeColor="text1"/>
              </w:rPr>
              <w:t>1.682.989.064</w:t>
            </w:r>
          </w:p>
        </w:tc>
        <w:tc>
          <w:tcPr>
            <w:tcW w:w="2218" w:type="dxa"/>
          </w:tcPr>
          <w:p w:rsidR="00FE7FEB" w:rsidRPr="00822B0A" w:rsidRDefault="00FE7FEB" w:rsidP="00D816E6">
            <w:pPr>
              <w:jc w:val="center"/>
              <w:rPr>
                <w:color w:val="000000" w:themeColor="text1"/>
              </w:rPr>
            </w:pPr>
            <w:r w:rsidRPr="00822B0A">
              <w:rPr>
                <w:color w:val="000000" w:themeColor="text1"/>
              </w:rPr>
              <w:t>1.762.338.052</w:t>
            </w:r>
          </w:p>
        </w:tc>
        <w:tc>
          <w:tcPr>
            <w:tcW w:w="2218" w:type="dxa"/>
          </w:tcPr>
          <w:p w:rsidR="00FE7FEB" w:rsidRPr="00822B0A" w:rsidRDefault="00FE7FEB" w:rsidP="00D816E6">
            <w:pPr>
              <w:jc w:val="center"/>
              <w:rPr>
                <w:color w:val="000000" w:themeColor="text1"/>
              </w:rPr>
            </w:pPr>
            <w:r w:rsidRPr="00822B0A">
              <w:rPr>
                <w:color w:val="000000" w:themeColor="text1"/>
              </w:rPr>
              <w:t>1.766.797.234</w:t>
            </w:r>
          </w:p>
        </w:tc>
      </w:tr>
    </w:tbl>
    <w:p w:rsidR="00FE7FEB" w:rsidRDefault="00FE7FEB" w:rsidP="00216EDE">
      <w:pPr>
        <w:ind w:firstLine="708"/>
        <w:jc w:val="both"/>
        <w:rPr>
          <w:color w:val="000000" w:themeColor="text1"/>
          <w:sz w:val="18"/>
        </w:rPr>
      </w:pPr>
      <w:r w:rsidRPr="00822B0A">
        <w:rPr>
          <w:color w:val="000000" w:themeColor="text1"/>
          <w:sz w:val="18"/>
          <w:vertAlign w:val="superscript"/>
        </w:rPr>
        <w:t>1</w:t>
      </w:r>
      <w:r w:rsidRPr="00822B0A">
        <w:rPr>
          <w:color w:val="000000" w:themeColor="text1"/>
          <w:sz w:val="18"/>
        </w:rPr>
        <w:t>These amounts are with ÜFE =266,16.</w:t>
      </w:r>
    </w:p>
    <w:p w:rsidR="00FE7FEB" w:rsidRPr="00822B0A" w:rsidRDefault="00FE7FEB" w:rsidP="00FE7FEB">
      <w:pPr>
        <w:jc w:val="both"/>
        <w:rPr>
          <w:color w:val="000000" w:themeColor="text1"/>
          <w:sz w:val="18"/>
        </w:rPr>
      </w:pPr>
    </w:p>
    <w:p w:rsidR="00FE7FEB" w:rsidRPr="000B181C" w:rsidRDefault="00FE7FEB" w:rsidP="000B181C">
      <w:pPr>
        <w:pStyle w:val="Balk3"/>
      </w:pPr>
      <w:bookmarkStart w:id="232" w:name="_Toc505346078"/>
      <w:bookmarkStart w:id="233" w:name="_Toc514251659"/>
      <w:bookmarkStart w:id="234" w:name="_Toc12956341"/>
      <w:r w:rsidRPr="000B181C">
        <w:t>4.2.2.Connection Tariffs</w:t>
      </w:r>
      <w:bookmarkEnd w:id="232"/>
      <w:bookmarkEnd w:id="233"/>
      <w:bookmarkEnd w:id="234"/>
    </w:p>
    <w:p w:rsidR="00FE7FEB" w:rsidRDefault="00FE7FEB" w:rsidP="00FE7FEB">
      <w:pPr>
        <w:spacing w:after="120" w:line="240" w:lineRule="auto"/>
        <w:jc w:val="both"/>
        <w:rPr>
          <w:color w:val="000000" w:themeColor="text1"/>
        </w:rPr>
      </w:pPr>
      <w:r w:rsidRPr="00822B0A">
        <w:rPr>
          <w:color w:val="000000" w:themeColor="text1"/>
        </w:rPr>
        <w:t xml:space="preserve">With the Board Decision dated 26/12/2016 and numbered 6807, principles and procedures for connection and service fees in Natural Gas Distribution Sector were published in the Official Gazette dated 29/12/2016 and numbered 29933. </w:t>
      </w:r>
      <w:r w:rsidRPr="004D3A8F">
        <w:rPr>
          <w:color w:val="000000" w:themeColor="text1"/>
        </w:rPr>
        <w:t>With the Board Decision dated 06.12.2018 and numbered 8229, the decision regarding the determination of the amounts stated in the Procedures and Principles was published in the Official Gazette dated 09.12.2018 and numbered 30620.</w:t>
      </w:r>
      <w:r>
        <w:rPr>
          <w:color w:val="000000" w:themeColor="text1"/>
        </w:rPr>
        <w:t xml:space="preserve"> </w:t>
      </w:r>
      <w:r w:rsidRPr="004D3A8F">
        <w:rPr>
          <w:color w:val="000000" w:themeColor="text1"/>
        </w:rPr>
        <w:t>The updated prices for 2019 are given in Table 4.26</w:t>
      </w:r>
      <w:r>
        <w:rPr>
          <w:color w:val="000000" w:themeColor="text1"/>
        </w:rPr>
        <w:t>;</w:t>
      </w:r>
    </w:p>
    <w:p w:rsidR="00FE7FEB" w:rsidRDefault="00FE7FEB" w:rsidP="00FE7FEB"/>
    <w:p w:rsidR="00FE7FEB" w:rsidRPr="00216EDE" w:rsidRDefault="00FE7FEB" w:rsidP="00216EDE">
      <w:pPr>
        <w:pStyle w:val="Balk5"/>
      </w:pPr>
      <w:bookmarkStart w:id="235" w:name="_Toc12958508"/>
      <w:r w:rsidRPr="00216EDE">
        <w:rPr>
          <w:rStyle w:val="Gl"/>
          <w:b/>
          <w:bCs w:val="0"/>
        </w:rPr>
        <w:t>Table 4.26: Connection tariffs determined for Distribution Companies</w:t>
      </w:r>
      <w:bookmarkEnd w:id="235"/>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555"/>
        <w:gridCol w:w="2948"/>
        <w:gridCol w:w="2119"/>
      </w:tblGrid>
      <w:tr w:rsidR="00FE7FEB" w:rsidTr="00D816E6">
        <w:trPr>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tcPr>
          <w:p w:rsidR="00FE7FEB" w:rsidRDefault="00FE7FEB" w:rsidP="00D816E6">
            <w:pPr>
              <w:spacing w:after="0" w:line="240" w:lineRule="auto"/>
              <w:jc w:val="both"/>
              <w:rPr>
                <w:b/>
                <w:bCs/>
                <w:color w:val="FFFFFF" w:themeColor="background1"/>
                <w:lang w:val="tr-TR"/>
              </w:rPr>
            </w:pP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Pr>
                <w:b/>
                <w:bCs/>
                <w:color w:val="FFFFFF" w:themeColor="background1"/>
              </w:rPr>
              <w:t>2018</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Default="00FE7FEB" w:rsidP="00D816E6">
            <w:pPr>
              <w:spacing w:after="0" w:line="240" w:lineRule="auto"/>
              <w:jc w:val="center"/>
              <w:rPr>
                <w:b/>
                <w:bCs/>
                <w:color w:val="FFFFFF" w:themeColor="background1"/>
              </w:rPr>
            </w:pPr>
            <w:r>
              <w:rPr>
                <w:b/>
                <w:bCs/>
                <w:color w:val="FFFFFF" w:themeColor="background1"/>
              </w:rPr>
              <w:t>2019</w:t>
            </w:r>
          </w:p>
        </w:tc>
      </w:tr>
      <w:tr w:rsidR="00FE7FEB" w:rsidTr="00D816E6">
        <w:trPr>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
                <w:bCs/>
                <w:color w:val="000000" w:themeColor="text1"/>
                <w:sz w:val="20"/>
                <w:szCs w:val="20"/>
              </w:rPr>
            </w:pPr>
            <w:r w:rsidRPr="00EE4595">
              <w:rPr>
                <w:bCs/>
                <w:color w:val="000000" w:themeColor="text1"/>
              </w:rPr>
              <w:t>The subscriber connection fee limit, including the meter to be applied to subscriptions using Natural Gas for residential and heating purposes, is calculated for the first number of independent sections (BBS)</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sz w:val="20"/>
                <w:szCs w:val="20"/>
              </w:rPr>
            </w:pPr>
            <w:r>
              <w:rPr>
                <w:color w:val="000000" w:themeColor="text1"/>
                <w:sz w:val="20"/>
                <w:szCs w:val="20"/>
              </w:rPr>
              <w:t>514 TL</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sz w:val="20"/>
                <w:szCs w:val="20"/>
              </w:rPr>
            </w:pPr>
            <w:r>
              <w:rPr>
                <w:color w:val="000000" w:themeColor="text1"/>
                <w:sz w:val="20"/>
                <w:szCs w:val="20"/>
              </w:rPr>
              <w:t>594 TL</w:t>
            </w:r>
          </w:p>
        </w:tc>
      </w:tr>
      <w:tr w:rsidR="00FE7FEB" w:rsidTr="00D816E6">
        <w:trPr>
          <w:trHeight w:val="356"/>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
                <w:bCs/>
                <w:color w:val="000000" w:themeColor="text1"/>
                <w:sz w:val="20"/>
                <w:szCs w:val="20"/>
              </w:rPr>
            </w:pPr>
            <w:r w:rsidRPr="00EE4595">
              <w:rPr>
                <w:bCs/>
                <w:color w:val="000000" w:themeColor="text1"/>
              </w:rPr>
              <w:t>Additional per subscriber connection per 100 sqm area</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sz w:val="20"/>
                <w:szCs w:val="20"/>
              </w:rPr>
            </w:pPr>
            <w:r>
              <w:rPr>
                <w:bCs/>
                <w:color w:val="000000" w:themeColor="text1"/>
              </w:rPr>
              <w:t>i</w:t>
            </w:r>
            <w:r w:rsidRPr="00EE4595">
              <w:rPr>
                <w:bCs/>
                <w:color w:val="000000" w:themeColor="text1"/>
              </w:rPr>
              <w:t xml:space="preserve">ncreased with </w:t>
            </w:r>
            <w:r>
              <w:rPr>
                <w:color w:val="000000" w:themeColor="text1"/>
                <w:sz w:val="20"/>
                <w:szCs w:val="20"/>
              </w:rPr>
              <w:t>424 TL</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sz w:val="20"/>
                <w:szCs w:val="20"/>
              </w:rPr>
            </w:pPr>
            <w:r>
              <w:rPr>
                <w:bCs/>
                <w:color w:val="000000" w:themeColor="text1"/>
              </w:rPr>
              <w:t>i</w:t>
            </w:r>
            <w:r w:rsidRPr="00EE4595">
              <w:rPr>
                <w:bCs/>
                <w:color w:val="000000" w:themeColor="text1"/>
              </w:rPr>
              <w:t xml:space="preserve">ncreased with </w:t>
            </w:r>
            <w:r>
              <w:rPr>
                <w:color w:val="000000" w:themeColor="text1"/>
                <w:sz w:val="20"/>
                <w:szCs w:val="20"/>
              </w:rPr>
              <w:t>516 TL</w:t>
            </w:r>
          </w:p>
        </w:tc>
      </w:tr>
      <w:tr w:rsidR="00FE7FEB" w:rsidTr="00D816E6">
        <w:trPr>
          <w:trHeight w:val="1285"/>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EE4595" w:rsidRDefault="00FE7FEB" w:rsidP="00D816E6">
            <w:pPr>
              <w:spacing w:after="0" w:line="240" w:lineRule="auto"/>
              <w:jc w:val="both"/>
              <w:rPr>
                <w:b/>
                <w:bCs/>
                <w:color w:val="000000" w:themeColor="text1"/>
              </w:rPr>
            </w:pPr>
            <w:r w:rsidRPr="00EE4595">
              <w:rPr>
                <w:bCs/>
                <w:color w:val="000000" w:themeColor="text1"/>
              </w:rPr>
              <w:t xml:space="preserve">In the case of the written request of the subscribers as per the 40th article of the Natural Gas Market Distribution and Customer Service Regulations, the cost to be collected by the Distribution Company for changing the meter with pre-paid meter. </w:t>
            </w:r>
          </w:p>
          <w:p w:rsidR="00FE7FEB" w:rsidRDefault="00FE7FEB" w:rsidP="00D816E6">
            <w:pPr>
              <w:spacing w:after="0" w:line="240" w:lineRule="auto"/>
              <w:jc w:val="both"/>
              <w:rPr>
                <w:b/>
                <w:bCs/>
                <w:color w:val="000000" w:themeColor="text1"/>
                <w:sz w:val="20"/>
                <w:szCs w:val="20"/>
              </w:rPr>
            </w:pP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right"/>
              <w:rPr>
                <w:sz w:val="20"/>
                <w:szCs w:val="20"/>
              </w:rPr>
            </w:pPr>
            <w:r>
              <w:rPr>
                <w:color w:val="000000" w:themeColor="text1"/>
                <w:sz w:val="20"/>
                <w:szCs w:val="20"/>
              </w:rPr>
              <w:t>200 TL</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sz w:val="20"/>
                <w:szCs w:val="20"/>
                <w:highlight w:val="yellow"/>
              </w:rPr>
            </w:pPr>
            <w:r>
              <w:rPr>
                <w:color w:val="000000" w:themeColor="text1"/>
                <w:sz w:val="20"/>
                <w:szCs w:val="20"/>
              </w:rPr>
              <w:t>243 TL</w:t>
            </w:r>
          </w:p>
        </w:tc>
      </w:tr>
      <w:tr w:rsidR="00FE7FEB" w:rsidTr="00D816E6">
        <w:trPr>
          <w:trHeight w:val="1124"/>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Cs/>
                <w:color w:val="000000" w:themeColor="text1"/>
                <w:sz w:val="20"/>
                <w:szCs w:val="20"/>
              </w:rPr>
            </w:pPr>
            <w:r w:rsidRPr="00EE4595">
              <w:rPr>
                <w:bCs/>
                <w:color w:val="000000" w:themeColor="text1"/>
              </w:rPr>
              <w:t>Upper limits for security deposits</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color w:val="000000" w:themeColor="text1"/>
                <w:sz w:val="20"/>
                <w:szCs w:val="20"/>
              </w:rPr>
            </w:pPr>
            <w:r>
              <w:rPr>
                <w:color w:val="000000" w:themeColor="text1"/>
                <w:sz w:val="20"/>
                <w:szCs w:val="20"/>
              </w:rPr>
              <w:t>406 TL/unit</w:t>
            </w:r>
            <w:r w:rsidRPr="00EE4595">
              <w:rPr>
                <w:color w:val="000000" w:themeColor="text1"/>
              </w:rPr>
              <w:t xml:space="preserve"> for the boiler</w:t>
            </w:r>
            <w:r>
              <w:rPr>
                <w:color w:val="000000" w:themeColor="text1"/>
                <w:sz w:val="20"/>
                <w:szCs w:val="20"/>
              </w:rPr>
              <w:t>,</w:t>
            </w:r>
          </w:p>
          <w:p w:rsidR="00FE7FEB" w:rsidRDefault="00FE7FEB" w:rsidP="00D816E6">
            <w:pPr>
              <w:spacing w:after="0" w:line="240" w:lineRule="auto"/>
              <w:jc w:val="both"/>
              <w:rPr>
                <w:color w:val="000000" w:themeColor="text1"/>
                <w:sz w:val="20"/>
                <w:szCs w:val="20"/>
              </w:rPr>
            </w:pPr>
            <w:r>
              <w:rPr>
                <w:color w:val="000000" w:themeColor="text1"/>
                <w:sz w:val="20"/>
                <w:szCs w:val="20"/>
              </w:rPr>
              <w:t>364 TL/housing for the stove,</w:t>
            </w:r>
          </w:p>
          <w:p w:rsidR="00FE7FEB" w:rsidRDefault="00FE7FEB" w:rsidP="00D816E6">
            <w:pPr>
              <w:jc w:val="both"/>
              <w:rPr>
                <w:sz w:val="20"/>
                <w:szCs w:val="20"/>
              </w:rPr>
            </w:pPr>
            <w:r>
              <w:rPr>
                <w:color w:val="000000" w:themeColor="text1"/>
                <w:sz w:val="20"/>
                <w:szCs w:val="20"/>
              </w:rPr>
              <w:t>364 TL x BBS for the central system, 21 TL for oven and 42 TL for water heater</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color w:val="000000" w:themeColor="text1"/>
                <w:sz w:val="20"/>
                <w:szCs w:val="20"/>
              </w:rPr>
            </w:pPr>
            <w:r>
              <w:rPr>
                <w:color w:val="000000" w:themeColor="text1"/>
                <w:sz w:val="20"/>
                <w:szCs w:val="20"/>
              </w:rPr>
              <w:t>510 TL/ unit</w:t>
            </w:r>
            <w:r w:rsidRPr="00EE4595">
              <w:rPr>
                <w:color w:val="000000" w:themeColor="text1"/>
              </w:rPr>
              <w:t xml:space="preserve"> for the boiler</w:t>
            </w:r>
            <w:r>
              <w:rPr>
                <w:color w:val="000000" w:themeColor="text1"/>
                <w:sz w:val="20"/>
                <w:szCs w:val="20"/>
              </w:rPr>
              <w:t>,</w:t>
            </w:r>
          </w:p>
          <w:p w:rsidR="00FE7FEB" w:rsidRDefault="00FE7FEB" w:rsidP="00D816E6">
            <w:pPr>
              <w:spacing w:after="0" w:line="240" w:lineRule="auto"/>
              <w:jc w:val="both"/>
              <w:rPr>
                <w:color w:val="000000" w:themeColor="text1"/>
                <w:sz w:val="20"/>
                <w:szCs w:val="20"/>
              </w:rPr>
            </w:pPr>
            <w:r>
              <w:rPr>
                <w:color w:val="000000" w:themeColor="text1"/>
                <w:sz w:val="20"/>
                <w:szCs w:val="20"/>
              </w:rPr>
              <w:t>455 TL/ housing for the stove,</w:t>
            </w:r>
          </w:p>
          <w:p w:rsidR="00FE7FEB" w:rsidRDefault="00FE7FEB" w:rsidP="00D816E6">
            <w:pPr>
              <w:spacing w:after="0" w:line="240" w:lineRule="auto"/>
              <w:jc w:val="both"/>
              <w:rPr>
                <w:color w:val="000000" w:themeColor="text1"/>
                <w:sz w:val="20"/>
                <w:szCs w:val="20"/>
                <w:highlight w:val="yellow"/>
              </w:rPr>
            </w:pPr>
            <w:r>
              <w:rPr>
                <w:color w:val="000000" w:themeColor="text1"/>
                <w:sz w:val="20"/>
                <w:szCs w:val="20"/>
              </w:rPr>
              <w:t>455 TL x BBS for the central system, 27 TL for oven and 55 TL for water heater</w:t>
            </w:r>
          </w:p>
        </w:tc>
      </w:tr>
      <w:tr w:rsidR="00FE7FEB" w:rsidTr="00D816E6">
        <w:trPr>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Cs/>
                <w:color w:val="000000" w:themeColor="text1"/>
                <w:sz w:val="20"/>
                <w:szCs w:val="20"/>
              </w:rPr>
            </w:pPr>
            <w:r w:rsidRPr="00EE4595">
              <w:rPr>
                <w:color w:val="000000" w:themeColor="text1"/>
              </w:rPr>
              <w:t>Upper limit of meter opening-closing rate</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sz w:val="20"/>
                <w:szCs w:val="20"/>
              </w:rPr>
            </w:pPr>
            <w:r>
              <w:rPr>
                <w:color w:val="000000" w:themeColor="text1"/>
                <w:sz w:val="20"/>
                <w:szCs w:val="20"/>
              </w:rPr>
              <w:t>20 TL</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rPr>
                <w:color w:val="000000" w:themeColor="text1"/>
                <w:sz w:val="20"/>
                <w:szCs w:val="20"/>
              </w:rPr>
            </w:pPr>
            <w:r>
              <w:rPr>
                <w:color w:val="000000" w:themeColor="text1"/>
                <w:sz w:val="20"/>
                <w:szCs w:val="20"/>
              </w:rPr>
              <w:t>24 TL</w:t>
            </w:r>
          </w:p>
        </w:tc>
      </w:tr>
    </w:tbl>
    <w:p w:rsidR="00FE7FEB" w:rsidRDefault="00FE7FEB" w:rsidP="00FE7FEB"/>
    <w:p w:rsidR="00FE7FEB" w:rsidRPr="000B181C" w:rsidRDefault="00FE7FEB" w:rsidP="000B181C">
      <w:pPr>
        <w:pStyle w:val="Balk3"/>
      </w:pPr>
      <w:bookmarkStart w:id="236" w:name="_Toc12956342"/>
      <w:r w:rsidRPr="000B181C">
        <w:t>4.2.3.Fees for Internal installation project approval, supervision, testing and commissioning transactions</w:t>
      </w:r>
      <w:bookmarkEnd w:id="236"/>
      <w:r w:rsidRPr="000B181C">
        <w:t xml:space="preserve"> </w:t>
      </w:r>
    </w:p>
    <w:p w:rsidR="00FE7FEB" w:rsidRPr="00F31953" w:rsidRDefault="00FE7FEB" w:rsidP="00FE7FEB">
      <w:pPr>
        <w:spacing w:after="120" w:line="240" w:lineRule="auto"/>
        <w:jc w:val="both"/>
        <w:rPr>
          <w:color w:val="000000" w:themeColor="text1"/>
        </w:rPr>
      </w:pPr>
      <w:r w:rsidRPr="00822B0A">
        <w:rPr>
          <w:color w:val="000000" w:themeColor="text1"/>
        </w:rPr>
        <w:t xml:space="preserve">Board Decision dated </w:t>
      </w:r>
      <w:r>
        <w:rPr>
          <w:color w:val="000000" w:themeColor="text1"/>
        </w:rPr>
        <w:t xml:space="preserve">06.12.2018 </w:t>
      </w:r>
      <w:r w:rsidRPr="00822B0A">
        <w:rPr>
          <w:color w:val="000000" w:themeColor="text1"/>
        </w:rPr>
        <w:t xml:space="preserve">and numbered </w:t>
      </w:r>
      <w:r>
        <w:rPr>
          <w:color w:val="000000" w:themeColor="text1"/>
        </w:rPr>
        <w:t xml:space="preserve">8229 </w:t>
      </w:r>
      <w:r w:rsidRPr="00822B0A">
        <w:rPr>
          <w:color w:val="000000" w:themeColor="text1"/>
        </w:rPr>
        <w:t xml:space="preserve">on Natural Gas Distribution Companies' internal installation project approval, supervision, testing and commissioning transactions were published in the Official Gazette numbered </w:t>
      </w:r>
      <w:r>
        <w:rPr>
          <w:color w:val="000000" w:themeColor="text1"/>
        </w:rPr>
        <w:t>30620</w:t>
      </w:r>
      <w:r w:rsidRPr="00822B0A">
        <w:rPr>
          <w:color w:val="000000" w:themeColor="text1"/>
        </w:rPr>
        <w:t xml:space="preserve"> on </w:t>
      </w:r>
      <w:r>
        <w:rPr>
          <w:color w:val="000000" w:themeColor="text1"/>
        </w:rPr>
        <w:t xml:space="preserve">09.12.2018. </w:t>
      </w:r>
      <w:r w:rsidRPr="00822B0A">
        <w:rPr>
          <w:color w:val="000000" w:themeColor="text1"/>
        </w:rPr>
        <w:t>The updated price for the year 201</w:t>
      </w:r>
      <w:r>
        <w:rPr>
          <w:color w:val="000000" w:themeColor="text1"/>
        </w:rPr>
        <w:t>9</w:t>
      </w:r>
      <w:r w:rsidRPr="00822B0A">
        <w:rPr>
          <w:color w:val="000000" w:themeColor="text1"/>
        </w:rPr>
        <w:t xml:space="preserve"> is shown in Table 4.27.</w:t>
      </w:r>
    </w:p>
    <w:p w:rsidR="00FE7FEB" w:rsidRPr="00216EDE" w:rsidRDefault="00FE7FEB" w:rsidP="00216EDE">
      <w:pPr>
        <w:pStyle w:val="Balk5"/>
      </w:pPr>
      <w:bookmarkStart w:id="237" w:name="_Toc12958509"/>
      <w:r w:rsidRPr="00216EDE">
        <w:rPr>
          <w:rStyle w:val="Gl"/>
          <w:b/>
          <w:bCs w:val="0"/>
        </w:rPr>
        <w:t>Table 4.27: Internal installation project approval, supervision, testing and commissioning transactions max. fees set forth by the Authority</w:t>
      </w:r>
      <w:bookmarkEnd w:id="237"/>
    </w:p>
    <w:tbl>
      <w:tblPr>
        <w:tblW w:w="892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1E0" w:firstRow="1" w:lastRow="1" w:firstColumn="1" w:lastColumn="1" w:noHBand="0" w:noVBand="0"/>
      </w:tblPr>
      <w:tblGrid>
        <w:gridCol w:w="2945"/>
        <w:gridCol w:w="2990"/>
        <w:gridCol w:w="2990"/>
      </w:tblGrid>
      <w:tr w:rsidR="00FE7FE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lang w:val="tr-TR"/>
              </w:rPr>
            </w:pPr>
            <w:r w:rsidRPr="00822B0A">
              <w:rPr>
                <w:b/>
                <w:bCs/>
                <w:color w:val="FFFFFF" w:themeColor="background1"/>
              </w:rPr>
              <w:t>TYPE OF METER</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Pr>
                <w:b/>
                <w:bCs/>
                <w:color w:val="FFFFFF" w:themeColor="background1"/>
              </w:rPr>
              <w:t>2018</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spacing w:after="0" w:line="240" w:lineRule="auto"/>
              <w:jc w:val="center"/>
              <w:rPr>
                <w:b/>
                <w:bCs/>
                <w:color w:val="FFFFFF" w:themeColor="background1"/>
              </w:rPr>
            </w:pPr>
            <w:r>
              <w:rPr>
                <w:b/>
                <w:bCs/>
                <w:color w:val="FFFFFF" w:themeColor="background1"/>
              </w:rPr>
              <w:t>2019</w:t>
            </w:r>
          </w:p>
        </w:tc>
      </w:tr>
      <w:tr w:rsidR="00FE7FE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
                <w:bCs/>
                <w:color w:val="000000" w:themeColor="text1"/>
              </w:rPr>
            </w:pPr>
            <w:r>
              <w:rPr>
                <w:b/>
                <w:bCs/>
                <w:color w:val="000000" w:themeColor="text1"/>
              </w:rPr>
              <w:t xml:space="preserve">G4, G6 </w:t>
            </w:r>
            <w:r w:rsidRPr="00822B0A">
              <w:rPr>
                <w:b/>
                <w:bCs/>
                <w:color w:val="000000" w:themeColor="text1"/>
              </w:rPr>
              <w:t>(TL/</w:t>
            </w:r>
            <w:r>
              <w:rPr>
                <w:b/>
                <w:bCs/>
                <w:color w:val="000000" w:themeColor="text1"/>
              </w:rPr>
              <w:t>piece</w:t>
            </w:r>
            <w:r w:rsidRPr="00822B0A">
              <w:rPr>
                <w:b/>
                <w:bCs/>
                <w:color w:val="000000" w:themeColor="text1"/>
              </w:rPr>
              <w:t>)</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34</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41</w:t>
            </w:r>
          </w:p>
        </w:tc>
      </w:tr>
      <w:tr w:rsidR="00FE7FE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
                <w:bCs/>
                <w:color w:val="000000" w:themeColor="text1"/>
              </w:rPr>
            </w:pPr>
            <w:r>
              <w:rPr>
                <w:b/>
                <w:bCs/>
                <w:color w:val="000000" w:themeColor="text1"/>
              </w:rPr>
              <w:t>G10, G16, G25 (TL/No)</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63</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77</w:t>
            </w:r>
          </w:p>
        </w:tc>
      </w:tr>
      <w:tr w:rsidR="00FE7FE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
                <w:bCs/>
                <w:color w:val="000000" w:themeColor="text1"/>
              </w:rPr>
            </w:pPr>
            <w:r>
              <w:rPr>
                <w:b/>
                <w:bCs/>
                <w:color w:val="000000" w:themeColor="text1"/>
              </w:rPr>
              <w:t>G40, G65, G100 (TL/No)</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127</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154</w:t>
            </w:r>
          </w:p>
        </w:tc>
      </w:tr>
      <w:tr w:rsidR="00FE7FE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
                <w:bCs/>
                <w:color w:val="000000" w:themeColor="text1"/>
              </w:rPr>
            </w:pPr>
            <w:r>
              <w:rPr>
                <w:b/>
                <w:bCs/>
                <w:color w:val="000000" w:themeColor="text1"/>
              </w:rPr>
              <w:t>G160, G250, G400 (TL/No)</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192</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234</w:t>
            </w:r>
          </w:p>
        </w:tc>
      </w:tr>
      <w:tr w:rsidR="00FE7FE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
                <w:bCs/>
                <w:color w:val="000000" w:themeColor="text1"/>
              </w:rPr>
            </w:pPr>
            <w:r>
              <w:rPr>
                <w:b/>
                <w:bCs/>
                <w:color w:val="000000" w:themeColor="text1"/>
              </w:rPr>
              <w:t>Bigger than G400 (TL/No)</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259</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315</w:t>
            </w:r>
          </w:p>
        </w:tc>
      </w:tr>
      <w:tr w:rsidR="00FE7FE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both"/>
              <w:rPr>
                <w:b/>
                <w:bCs/>
                <w:color w:val="000000" w:themeColor="text1"/>
              </w:rPr>
            </w:pPr>
            <w:r>
              <w:rPr>
                <w:b/>
                <w:bCs/>
                <w:color w:val="000000" w:themeColor="text1"/>
              </w:rPr>
              <w:t>Colon Line (TL/Project)</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34</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spacing w:after="0" w:line="240" w:lineRule="auto"/>
              <w:jc w:val="right"/>
            </w:pPr>
            <w:r>
              <w:t>41</w:t>
            </w:r>
          </w:p>
        </w:tc>
      </w:tr>
    </w:tbl>
    <w:p w:rsidR="00FE7FEB" w:rsidRDefault="00FE7FEB" w:rsidP="00FE7FEB"/>
    <w:p w:rsidR="00FE7FEB" w:rsidRPr="000B181C" w:rsidRDefault="00FE7FEB" w:rsidP="000B181C">
      <w:pPr>
        <w:pStyle w:val="Balk3"/>
      </w:pPr>
      <w:bookmarkStart w:id="238" w:name="_Toc505346081"/>
      <w:bookmarkStart w:id="239" w:name="_Toc514251662"/>
      <w:bookmarkStart w:id="240" w:name="_Toc12956343"/>
      <w:r w:rsidRPr="000B181C">
        <w:t>4.2.4.Wholesale Tariffs</w:t>
      </w:r>
      <w:bookmarkEnd w:id="238"/>
      <w:bookmarkEnd w:id="239"/>
      <w:bookmarkEnd w:id="240"/>
    </w:p>
    <w:p w:rsidR="00FE7FEB" w:rsidRDefault="00FE7FEB" w:rsidP="00FE7FEB">
      <w:pPr>
        <w:spacing w:after="120" w:line="240" w:lineRule="auto"/>
        <w:jc w:val="both"/>
        <w:rPr>
          <w:color w:val="000000" w:themeColor="text1"/>
        </w:rPr>
      </w:pPr>
      <w:r w:rsidRPr="00822B0A">
        <w:rPr>
          <w:color w:val="000000" w:themeColor="text1"/>
        </w:rPr>
        <w:t>With the Board Decision dated 22/12/2011 and numbered 3577, it was decided that the natural gas wholesale prices shall be determined freely among the parties starting from 01/01/2012 until a new regulation in this respect is done.</w:t>
      </w:r>
    </w:p>
    <w:p w:rsidR="00FE7FEB" w:rsidRPr="00822B0A" w:rsidRDefault="00FE7FEB" w:rsidP="00FE7FEB">
      <w:pPr>
        <w:spacing w:after="120" w:line="240" w:lineRule="auto"/>
        <w:jc w:val="both"/>
        <w:rPr>
          <w:color w:val="000000" w:themeColor="text1"/>
        </w:rPr>
      </w:pPr>
    </w:p>
    <w:p w:rsidR="00FE7FEB" w:rsidRPr="000B181C" w:rsidRDefault="00FE7FEB" w:rsidP="000B181C">
      <w:pPr>
        <w:pStyle w:val="Balk3"/>
      </w:pPr>
      <w:bookmarkStart w:id="241" w:name="_Toc505346082"/>
      <w:bookmarkStart w:id="242" w:name="_Toc514251663"/>
      <w:bookmarkStart w:id="243" w:name="_Toc12956344"/>
      <w:r w:rsidRPr="000B181C">
        <w:t>4.2.5.Retail Sale Tarif</w:t>
      </w:r>
      <w:bookmarkEnd w:id="241"/>
      <w:bookmarkEnd w:id="242"/>
      <w:r w:rsidRPr="000B181C">
        <w:t>fs</w:t>
      </w:r>
      <w:bookmarkEnd w:id="243"/>
    </w:p>
    <w:p w:rsidR="00FE7FEB" w:rsidRPr="00822B0A" w:rsidRDefault="00FE7FEB" w:rsidP="00FE7FEB">
      <w:pPr>
        <w:spacing w:after="120" w:line="240" w:lineRule="auto"/>
        <w:jc w:val="both"/>
        <w:rPr>
          <w:color w:val="000000" w:themeColor="text1"/>
        </w:rPr>
      </w:pPr>
      <w:r w:rsidRPr="00822B0A">
        <w:t xml:space="preserve">Within the scope of the tariff calculation methodology for natural gas distribution companies adopted by the Board Decision daed 22/06/2017 and numbered 7139 published in the Official Gazette dated 01/07/2017 and numbered 30111, the following Board Decisions were taken for </w:t>
      </w:r>
      <w:r w:rsidRPr="00822B0A">
        <w:rPr>
          <w:color w:val="000000" w:themeColor="text1"/>
        </w:rPr>
        <w:t xml:space="preserve">2017-2021 tariff implementation period retail sale tariffs;  </w:t>
      </w:r>
    </w:p>
    <w:p w:rsidR="00FE7FEB" w:rsidRDefault="00FE7FEB" w:rsidP="00FE7FEB"/>
    <w:p w:rsidR="00216EDE" w:rsidRDefault="00216EDE" w:rsidP="00FE7FEB"/>
    <w:p w:rsidR="00216EDE" w:rsidRDefault="00216EDE" w:rsidP="00FE7FEB"/>
    <w:p w:rsidR="00216EDE" w:rsidRDefault="00216EDE" w:rsidP="00FE7FEB"/>
    <w:p w:rsidR="00FE7FEB" w:rsidRDefault="00FE7FEB" w:rsidP="00216EDE">
      <w:pPr>
        <w:pStyle w:val="Balk5"/>
      </w:pPr>
      <w:bookmarkStart w:id="244" w:name="_Toc12958510"/>
      <w:r w:rsidRPr="0083442E">
        <w:t>Table 4.28: Natural Gas Distribution Companies With Board Decision Regarding Retail Tariffs In 2018</w:t>
      </w:r>
      <w:bookmarkEnd w:id="244"/>
    </w:p>
    <w:p w:rsidR="00216EDE" w:rsidRPr="00216EDE" w:rsidRDefault="00216EDE" w:rsidP="00216EDE"/>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38"/>
        <w:gridCol w:w="2163"/>
        <w:gridCol w:w="1986"/>
        <w:gridCol w:w="3435"/>
      </w:tblGrid>
      <w:tr w:rsidR="00FE7FEB" w:rsidTr="00D816E6">
        <w:trPr>
          <w:trHeight w:val="425"/>
          <w:tblHeade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jc w:val="center"/>
              <w:rPr>
                <w:color w:val="FFFFFF" w:themeColor="background1"/>
              </w:rPr>
            </w:pPr>
            <w:r w:rsidRPr="00822B0A">
              <w:rPr>
                <w:b/>
                <w:bCs/>
                <w:color w:val="FFFFFF" w:themeColor="background1"/>
                <w:szCs w:val="21"/>
              </w:rPr>
              <w:t>Natural Gas Distribution Company</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jc w:val="center"/>
              <w:rPr>
                <w:b/>
                <w:bCs/>
                <w:color w:val="FFFFFF" w:themeColor="background1"/>
                <w:szCs w:val="21"/>
              </w:rPr>
            </w:pPr>
            <w:r w:rsidRPr="00822B0A">
              <w:rPr>
                <w:b/>
                <w:bCs/>
                <w:color w:val="FFFFFF" w:themeColor="background1"/>
                <w:szCs w:val="21"/>
              </w:rPr>
              <w:t>Date of Board Decision</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jc w:val="center"/>
              <w:rPr>
                <w:b/>
                <w:bCs/>
                <w:color w:val="FFFFFF" w:themeColor="background1"/>
                <w:szCs w:val="21"/>
              </w:rPr>
            </w:pPr>
            <w:r w:rsidRPr="00822B0A">
              <w:rPr>
                <w:b/>
                <w:bCs/>
                <w:color w:val="FFFFFF" w:themeColor="background1"/>
                <w:szCs w:val="21"/>
              </w:rPr>
              <w:t>No of Board Decision</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Default="00FE7FEB" w:rsidP="00D816E6">
            <w:pPr>
              <w:jc w:val="center"/>
              <w:rPr>
                <w:b/>
                <w:bCs/>
                <w:color w:val="FFFFFF" w:themeColor="background1"/>
                <w:szCs w:val="21"/>
              </w:rPr>
            </w:pPr>
            <w:r>
              <w:rPr>
                <w:b/>
                <w:bCs/>
                <w:color w:val="FFFFFF" w:themeColor="background1"/>
                <w:szCs w:val="21"/>
              </w:rPr>
              <w:t>Coverage</w:t>
            </w:r>
          </w:p>
        </w:tc>
      </w:tr>
      <w:tr w:rsidR="00FE7FEB" w:rsidRPr="002C2AC1"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r>
              <w:rPr>
                <w:rFonts w:cs="Arial"/>
              </w:rPr>
              <w:t xml:space="preserve">Bursa </w:t>
            </w:r>
            <w:r w:rsidRPr="002A1862">
              <w:rPr>
                <w:rFonts w:cs="Arial"/>
              </w:rPr>
              <w:t xml:space="preserve">Natural Gas Distribution Trade and Commitment </w:t>
            </w:r>
            <w:r>
              <w:rPr>
                <w:rFonts w:cs="Arial"/>
              </w:rPr>
              <w:t>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pPr>
            <w:r>
              <w:rPr>
                <w:rFonts w:cs="Arial"/>
              </w:rPr>
              <w:t>01.01.2018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pPr>
            <w:r>
              <w:rPr>
                <w:rFonts w:cs="Arial"/>
              </w:rPr>
              <w:t>7621</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2C2AC1" w:rsidRDefault="00FE7FEB" w:rsidP="00D816E6">
            <w:pPr>
              <w:jc w:val="center"/>
              <w:rPr>
                <w:rFonts w:cs="Arial"/>
              </w:rPr>
            </w:pPr>
            <w:r w:rsidRPr="002C2AC1">
              <w:rPr>
                <w:rFonts w:cs="Arial"/>
              </w:rPr>
              <w:t>Determination of Retail Sales Tariffs for 2017-2021 tariff application period</w:t>
            </w:r>
          </w:p>
        </w:tc>
      </w:tr>
      <w:tr w:rsidR="00FE7FEB" w:rsidRPr="00762F9E"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2A1862" w:rsidRDefault="00FE7FEB" w:rsidP="00D816E6">
            <w:r w:rsidRPr="002A1862">
              <w:rPr>
                <w:rFonts w:cs="Arial"/>
              </w:rPr>
              <w:t>Es</w:t>
            </w:r>
            <w:r>
              <w:rPr>
                <w:rFonts w:cs="Arial"/>
              </w:rPr>
              <w:t>Gas</w:t>
            </w:r>
            <w:r w:rsidRPr="002A1862">
              <w:rPr>
                <w:rFonts w:cs="Arial"/>
              </w:rPr>
              <w:t xml:space="preserve"> Eskisehir Natural Gas Distribution Trade and Commitment </w:t>
            </w:r>
            <w:r>
              <w:rPr>
                <w:rFonts w:cs="Arial"/>
              </w:rPr>
              <w:t>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pPr>
            <w:r>
              <w:rPr>
                <w:rFonts w:cs="Arial"/>
              </w:rPr>
              <w:t>02.01.2018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pPr>
            <w:r>
              <w:rPr>
                <w:rFonts w:cs="Arial"/>
              </w:rPr>
              <w:t>7622</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762F9E" w:rsidRDefault="00FE7FEB" w:rsidP="00D816E6">
            <w:pPr>
              <w:jc w:val="center"/>
              <w:rPr>
                <w:rFonts w:cs="Arial"/>
              </w:rPr>
            </w:pPr>
            <w:r w:rsidRPr="00762F9E">
              <w:rPr>
                <w:rFonts w:cs="Arial"/>
              </w:rPr>
              <w:t>Determination of Retail Sales Tariffs for 2017-2021 tariff application period</w:t>
            </w:r>
          </w:p>
        </w:tc>
      </w:tr>
      <w:tr w:rsidR="00FE7FEB" w:rsidRPr="00762F9E"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2A1862" w:rsidRDefault="00FE7FEB" w:rsidP="00D816E6">
            <w:r w:rsidRPr="002A1862">
              <w:rPr>
                <w:rFonts w:cs="Arial"/>
              </w:rPr>
              <w:t>İz</w:t>
            </w:r>
            <w:r>
              <w:rPr>
                <w:rFonts w:cs="Arial"/>
              </w:rPr>
              <w:t>Gas</w:t>
            </w:r>
            <w:r w:rsidRPr="002A1862">
              <w:rPr>
                <w:rFonts w:cs="Arial"/>
              </w:rPr>
              <w:t xml:space="preserve"> İzmit Gas Distribution Industry and Trade </w:t>
            </w:r>
            <w:r>
              <w:rPr>
                <w:rFonts w:cs="Arial"/>
              </w:rPr>
              <w:t>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pPr>
            <w:r>
              <w:rPr>
                <w:rFonts w:cs="Arial"/>
              </w:rPr>
              <w:t>22.02.2018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pPr>
            <w:r>
              <w:rPr>
                <w:rFonts w:cs="Arial"/>
              </w:rPr>
              <w:t>7706</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762F9E" w:rsidRDefault="00FE7FEB" w:rsidP="00D816E6">
            <w:pPr>
              <w:jc w:val="center"/>
              <w:rPr>
                <w:rFonts w:cs="Arial"/>
              </w:rPr>
            </w:pPr>
            <w:r w:rsidRPr="00762F9E">
              <w:rPr>
                <w:rFonts w:cs="Arial"/>
              </w:rPr>
              <w:t>Determination of Retail Sales Tariffs for 2017-2021 tariff application period</w:t>
            </w:r>
          </w:p>
        </w:tc>
      </w:tr>
      <w:tr w:rsidR="00FE7FEB" w:rsidRPr="00762F9E"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2A1862" w:rsidRDefault="00FE7FEB" w:rsidP="00D816E6">
            <w:pPr>
              <w:rPr>
                <w:rFonts w:cs="Arial"/>
              </w:rPr>
            </w:pPr>
            <w:r w:rsidRPr="002A1862">
              <w:rPr>
                <w:rFonts w:cs="Arial"/>
              </w:rPr>
              <w:t>Çini</w:t>
            </w:r>
            <w:r>
              <w:rPr>
                <w:rFonts w:cs="Arial"/>
              </w:rPr>
              <w:t>Gas</w:t>
            </w:r>
            <w:r w:rsidRPr="002A1862">
              <w:rPr>
                <w:rFonts w:cs="Arial"/>
              </w:rPr>
              <w:t xml:space="preserve"> </w:t>
            </w:r>
            <w:r>
              <w:rPr>
                <w:rFonts w:cs="Arial"/>
              </w:rPr>
              <w:t xml:space="preserve">Natural </w:t>
            </w:r>
            <w:r w:rsidRPr="002A1862">
              <w:rPr>
                <w:rFonts w:cs="Arial"/>
              </w:rPr>
              <w:t xml:space="preserve">Gas Distribution Industry and Trade </w:t>
            </w:r>
            <w:r>
              <w:rPr>
                <w:rFonts w:cs="Arial"/>
              </w:rPr>
              <w:t>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22.02.2018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7707</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762F9E" w:rsidRDefault="00FE7FEB" w:rsidP="00D816E6">
            <w:pPr>
              <w:jc w:val="center"/>
              <w:rPr>
                <w:rFonts w:cs="Arial"/>
              </w:rPr>
            </w:pPr>
            <w:r w:rsidRPr="00762F9E">
              <w:rPr>
                <w:rFonts w:cs="Arial"/>
              </w:rPr>
              <w:t>Determination of Retail Sales Tariffs for 2017-2021 tariff application period</w:t>
            </w:r>
          </w:p>
        </w:tc>
      </w:tr>
      <w:tr w:rsidR="00FE7FEB"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2C2AC1" w:rsidRDefault="00FE7FEB" w:rsidP="00D816E6">
            <w:pPr>
              <w:rPr>
                <w:rFonts w:cs="Arial"/>
              </w:rPr>
            </w:pPr>
            <w:r w:rsidRPr="002C2AC1">
              <w:rPr>
                <w:rFonts w:cs="Arial"/>
              </w:rPr>
              <w:t xml:space="preserve">SamGas </w:t>
            </w:r>
            <w:r w:rsidRPr="00822B0A">
              <w:rPr>
                <w:rFonts w:cs="Arial"/>
              </w:rPr>
              <w:t>Natural Gas Distribution 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22.03.2018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7753</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sidRPr="00762F9E">
              <w:rPr>
                <w:rFonts w:cs="Arial"/>
              </w:rPr>
              <w:t>Unit Price Revision Due to Expansion</w:t>
            </w:r>
          </w:p>
        </w:tc>
      </w:tr>
      <w:tr w:rsidR="00FE7FEB" w:rsidRPr="00762F9E"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rPr>
                <w:rFonts w:cs="Arial"/>
              </w:rPr>
            </w:pPr>
            <w:r>
              <w:rPr>
                <w:rFonts w:cs="Arial"/>
              </w:rPr>
              <w:t xml:space="preserve">Trakya Region </w:t>
            </w:r>
            <w:r w:rsidRPr="00822B0A">
              <w:rPr>
                <w:rFonts w:cs="Arial"/>
              </w:rPr>
              <w:t>Natural Gas Distribution 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29.03.2018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7766</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762F9E" w:rsidRDefault="00FE7FEB" w:rsidP="00D816E6">
            <w:pPr>
              <w:jc w:val="center"/>
              <w:rPr>
                <w:rFonts w:cs="Arial"/>
              </w:rPr>
            </w:pPr>
            <w:r w:rsidRPr="00762F9E">
              <w:rPr>
                <w:rFonts w:cs="Arial"/>
              </w:rPr>
              <w:t>Determination of Retail Sales Tariffs for 2017-2021 tariff application period</w:t>
            </w:r>
          </w:p>
        </w:tc>
      </w:tr>
      <w:tr w:rsidR="00FE7FEB"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2C2AC1" w:rsidRDefault="00FE7FEB" w:rsidP="00D816E6">
            <w:pPr>
              <w:rPr>
                <w:rFonts w:cs="Arial"/>
              </w:rPr>
            </w:pPr>
            <w:r w:rsidRPr="002C2AC1">
              <w:rPr>
                <w:rFonts w:cs="Arial"/>
              </w:rPr>
              <w:t xml:space="preserve">Diyarbakır </w:t>
            </w:r>
            <w:r w:rsidRPr="00822B0A">
              <w:rPr>
                <w:rFonts w:cs="Arial"/>
              </w:rPr>
              <w:t>Natural Gas Distribution 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28.06.2018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7931</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sidRPr="00762F9E">
              <w:rPr>
                <w:rFonts w:cs="Arial"/>
              </w:rPr>
              <w:t>Unit Price Revision Due to Expansion</w:t>
            </w:r>
          </w:p>
        </w:tc>
      </w:tr>
      <w:tr w:rsidR="00FE7FEB"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rPr>
                <w:rFonts w:cs="Arial"/>
              </w:rPr>
            </w:pPr>
            <w:r>
              <w:rPr>
                <w:rFonts w:cs="Arial"/>
              </w:rPr>
              <w:t xml:space="preserve">Bursa </w:t>
            </w:r>
            <w:r w:rsidRPr="002A1862">
              <w:rPr>
                <w:rFonts w:cs="Arial"/>
              </w:rPr>
              <w:t>Natural Gas Distribution Trade and Commitment 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28.06.2018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7928</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sidRPr="00762F9E">
              <w:rPr>
                <w:rFonts w:cs="Arial"/>
              </w:rPr>
              <w:t>Unit Price Revision Due to Expansion</w:t>
            </w:r>
          </w:p>
        </w:tc>
      </w:tr>
      <w:tr w:rsidR="00FE7FEB" w:rsidRPr="00762F9E"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rPr>
                <w:rFonts w:cs="Arial"/>
              </w:rPr>
            </w:pPr>
            <w:r>
              <w:rPr>
                <w:rFonts w:cs="Arial"/>
              </w:rPr>
              <w:t xml:space="preserve">Kızılcahamam </w:t>
            </w:r>
            <w:r w:rsidRPr="00822B0A">
              <w:rPr>
                <w:rFonts w:cs="Arial"/>
              </w:rPr>
              <w:t>Natural Gas Distribution 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06.09.2018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8048</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762F9E" w:rsidRDefault="00FE7FEB" w:rsidP="00D816E6">
            <w:pPr>
              <w:jc w:val="center"/>
              <w:rPr>
                <w:rFonts w:cs="Arial"/>
              </w:rPr>
            </w:pPr>
            <w:r w:rsidRPr="00762F9E">
              <w:rPr>
                <w:rFonts w:cs="Arial"/>
              </w:rPr>
              <w:t>Determination of Retail Sales Tariffs for 2017-2021 tariff application period</w:t>
            </w:r>
          </w:p>
        </w:tc>
      </w:tr>
      <w:tr w:rsidR="00FE7FEB" w:rsidTr="00D816E6">
        <w:trPr>
          <w:jc w:val="center"/>
        </w:trPr>
        <w:tc>
          <w:tcPr>
            <w:tcW w:w="10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2C2AC1" w:rsidRDefault="00FE7FEB" w:rsidP="00D816E6">
            <w:pPr>
              <w:rPr>
                <w:rFonts w:cs="Arial"/>
              </w:rPr>
            </w:pPr>
            <w:r w:rsidRPr="002C2AC1">
              <w:rPr>
                <w:rFonts w:cs="Arial"/>
              </w:rPr>
              <w:t xml:space="preserve">Palen Energy Natural Gas Distribution Industry and Trade </w:t>
            </w:r>
            <w:r>
              <w:rPr>
                <w:rFonts w:cs="Arial"/>
              </w:rPr>
              <w:t>CO.INC.</w:t>
            </w:r>
          </w:p>
        </w:tc>
        <w:tc>
          <w:tcPr>
            <w:tcW w:w="112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08.11.2018</w:t>
            </w:r>
          </w:p>
        </w:tc>
        <w:tc>
          <w:tcPr>
            <w:tcW w:w="10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Pr>
                <w:rFonts w:cs="Arial"/>
              </w:rPr>
              <w:t>8176</w:t>
            </w:r>
          </w:p>
        </w:tc>
        <w:tc>
          <w:tcPr>
            <w:tcW w:w="17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Default="00FE7FEB" w:rsidP="00D816E6">
            <w:pPr>
              <w:jc w:val="center"/>
              <w:rPr>
                <w:rFonts w:cs="Arial"/>
              </w:rPr>
            </w:pPr>
            <w:r w:rsidRPr="00762F9E">
              <w:rPr>
                <w:rFonts w:cs="Arial"/>
              </w:rPr>
              <w:t>Unit Price Revision Due to Expansion</w:t>
            </w:r>
          </w:p>
        </w:tc>
      </w:tr>
    </w:tbl>
    <w:p w:rsidR="00FE7FEB" w:rsidRDefault="00FE7FEB" w:rsidP="00FE7FEB"/>
    <w:p w:rsidR="00FE7FEB" w:rsidRPr="000B181C" w:rsidRDefault="00FE7FEB" w:rsidP="000B181C">
      <w:pPr>
        <w:pStyle w:val="Balk3"/>
      </w:pPr>
      <w:bookmarkStart w:id="245" w:name="_Toc442431284"/>
      <w:bookmarkStart w:id="246" w:name="_Toc505346083"/>
      <w:bookmarkStart w:id="247" w:name="_Toc514251664"/>
      <w:bookmarkStart w:id="248" w:name="_Toc12956345"/>
      <w:r w:rsidRPr="000B181C">
        <w:t xml:space="preserve">4.2.6.License </w:t>
      </w:r>
      <w:bookmarkEnd w:id="245"/>
      <w:bookmarkEnd w:id="246"/>
      <w:bookmarkEnd w:id="247"/>
      <w:r w:rsidRPr="000B181C">
        <w:t>Fees</w:t>
      </w:r>
      <w:bookmarkEnd w:id="248"/>
    </w:p>
    <w:p w:rsidR="00FE7FEB" w:rsidRPr="00822B0A" w:rsidRDefault="00FE7FEB" w:rsidP="00FE7FEB">
      <w:pPr>
        <w:tabs>
          <w:tab w:val="left" w:pos="284"/>
          <w:tab w:val="left" w:pos="567"/>
          <w:tab w:val="left" w:pos="709"/>
          <w:tab w:val="left" w:pos="851"/>
        </w:tabs>
        <w:spacing w:after="120" w:line="240" w:lineRule="auto"/>
        <w:jc w:val="both"/>
        <w:rPr>
          <w:color w:val="000000" w:themeColor="text1"/>
        </w:rPr>
      </w:pPr>
      <w:r w:rsidRPr="00822B0A">
        <w:rPr>
          <w:color w:val="000000" w:themeColor="text1"/>
        </w:rPr>
        <w:t>With the Board Decision dated 2</w:t>
      </w:r>
      <w:r>
        <w:rPr>
          <w:color w:val="000000" w:themeColor="text1"/>
        </w:rPr>
        <w:t>0.12.2018</w:t>
      </w:r>
      <w:r w:rsidRPr="00822B0A">
        <w:rPr>
          <w:color w:val="000000" w:themeColor="text1"/>
        </w:rPr>
        <w:t xml:space="preserve"> and numbered </w:t>
      </w:r>
      <w:r>
        <w:rPr>
          <w:color w:val="000000" w:themeColor="text1"/>
        </w:rPr>
        <w:t>8280</w:t>
      </w:r>
      <w:r w:rsidRPr="00822B0A">
        <w:rPr>
          <w:color w:val="000000" w:themeColor="text1"/>
        </w:rPr>
        <w:t xml:space="preserve"> published in the Official Gazette dated </w:t>
      </w:r>
      <w:r>
        <w:rPr>
          <w:color w:val="000000" w:themeColor="text1"/>
        </w:rPr>
        <w:t xml:space="preserve">23.12.2018 </w:t>
      </w:r>
      <w:r w:rsidRPr="00822B0A">
        <w:rPr>
          <w:color w:val="000000" w:themeColor="text1"/>
        </w:rPr>
        <w:t>and bis numbered 30</w:t>
      </w:r>
      <w:r>
        <w:rPr>
          <w:color w:val="000000" w:themeColor="text1"/>
        </w:rPr>
        <w:t>634</w:t>
      </w:r>
      <w:r w:rsidRPr="00822B0A">
        <w:rPr>
          <w:color w:val="000000" w:themeColor="text1"/>
        </w:rPr>
        <w:t>, as per the Art.10 of the Law No: 4628 amended by item (a) of paragraph (B) of Law No: 4646, the contribution fee to be paid in the natural gas market in 201</w:t>
      </w:r>
      <w:r>
        <w:rPr>
          <w:color w:val="000000" w:themeColor="text1"/>
        </w:rPr>
        <w:t>9</w:t>
      </w:r>
      <w:r w:rsidRPr="00822B0A">
        <w:rPr>
          <w:color w:val="000000" w:themeColor="text1"/>
        </w:rPr>
        <w:t xml:space="preserve"> was determined. </w:t>
      </w:r>
    </w:p>
    <w:p w:rsidR="00FE7FEB" w:rsidRPr="00822B0A" w:rsidRDefault="00FE7FEB" w:rsidP="00FE7FEB">
      <w:pPr>
        <w:tabs>
          <w:tab w:val="left" w:pos="284"/>
          <w:tab w:val="left" w:pos="567"/>
          <w:tab w:val="left" w:pos="709"/>
          <w:tab w:val="left" w:pos="851"/>
        </w:tabs>
        <w:spacing w:after="120" w:line="240" w:lineRule="auto"/>
        <w:jc w:val="both"/>
        <w:rPr>
          <w:color w:val="000000" w:themeColor="text1"/>
        </w:rPr>
      </w:pPr>
      <w:r w:rsidRPr="00822B0A">
        <w:rPr>
          <w:color w:val="000000" w:themeColor="text1"/>
        </w:rPr>
        <w:t xml:space="preserve">With the Board Decision dated </w:t>
      </w:r>
      <w:r>
        <w:rPr>
          <w:color w:val="000000" w:themeColor="text1"/>
        </w:rPr>
        <w:t xml:space="preserve">20.12.2018 </w:t>
      </w:r>
      <w:r w:rsidRPr="00822B0A">
        <w:rPr>
          <w:color w:val="000000" w:themeColor="text1"/>
        </w:rPr>
        <w:t xml:space="preserve">and numeberd </w:t>
      </w:r>
      <w:r>
        <w:rPr>
          <w:color w:val="000000" w:themeColor="text1"/>
        </w:rPr>
        <w:t>8276</w:t>
      </w:r>
      <w:r w:rsidRPr="00822B0A">
        <w:rPr>
          <w:color w:val="000000" w:themeColor="text1"/>
        </w:rPr>
        <w:t xml:space="preserve"> published in the Official Gazette dated </w:t>
      </w:r>
      <w:r>
        <w:rPr>
          <w:color w:val="000000" w:themeColor="text1"/>
        </w:rPr>
        <w:t xml:space="preserve">23.12.2018 </w:t>
      </w:r>
      <w:r w:rsidRPr="00822B0A">
        <w:rPr>
          <w:color w:val="000000" w:themeColor="text1"/>
        </w:rPr>
        <w:t>and bis numbered 30</w:t>
      </w:r>
      <w:r>
        <w:rPr>
          <w:color w:val="000000" w:themeColor="text1"/>
        </w:rPr>
        <w:t>634</w:t>
      </w:r>
      <w:r w:rsidRPr="00822B0A">
        <w:rPr>
          <w:color w:val="000000" w:themeColor="text1"/>
        </w:rPr>
        <w:t>, as pe the Natural Gas Market License Regulation, the fees for obtaining license, license modification, annual license, license renewal and getting a copy of the license for 201</w:t>
      </w:r>
      <w:r>
        <w:rPr>
          <w:color w:val="000000" w:themeColor="text1"/>
        </w:rPr>
        <w:t>9</w:t>
      </w:r>
      <w:r w:rsidRPr="00822B0A">
        <w:rPr>
          <w:color w:val="000000" w:themeColor="text1"/>
        </w:rPr>
        <w:t xml:space="preserve"> were determined.</w:t>
      </w:r>
    </w:p>
    <w:p w:rsidR="00FE7FEB" w:rsidRPr="00822B0A" w:rsidRDefault="00FE7FEB" w:rsidP="00FE7FEB">
      <w:pPr>
        <w:tabs>
          <w:tab w:val="left" w:pos="284"/>
          <w:tab w:val="left" w:pos="567"/>
          <w:tab w:val="left" w:pos="709"/>
          <w:tab w:val="left" w:pos="851"/>
        </w:tabs>
        <w:spacing w:after="120" w:line="240" w:lineRule="auto"/>
        <w:jc w:val="both"/>
        <w:rPr>
          <w:color w:val="000000" w:themeColor="text1"/>
        </w:rPr>
      </w:pPr>
      <w:r w:rsidRPr="00822B0A">
        <w:rPr>
          <w:color w:val="000000" w:themeColor="text1"/>
        </w:rPr>
        <w:t xml:space="preserve">With the Board Decision dated </w:t>
      </w:r>
      <w:r>
        <w:rPr>
          <w:color w:val="000000" w:themeColor="text1"/>
        </w:rPr>
        <w:t xml:space="preserve">20.12.2018 </w:t>
      </w:r>
      <w:r w:rsidRPr="00822B0A">
        <w:rPr>
          <w:color w:val="000000" w:themeColor="text1"/>
        </w:rPr>
        <w:t xml:space="preserve">and numebered </w:t>
      </w:r>
      <w:r>
        <w:rPr>
          <w:color w:val="000000" w:themeColor="text1"/>
        </w:rPr>
        <w:t>8277</w:t>
      </w:r>
      <w:r w:rsidRPr="00822B0A">
        <w:rPr>
          <w:color w:val="000000" w:themeColor="text1"/>
        </w:rPr>
        <w:t xml:space="preserve"> published in the Ofiicial Gazette dated </w:t>
      </w:r>
      <w:r>
        <w:rPr>
          <w:color w:val="000000" w:themeColor="text1"/>
        </w:rPr>
        <w:t xml:space="preserve">23.12.2018 </w:t>
      </w:r>
      <w:r w:rsidRPr="00822B0A">
        <w:rPr>
          <w:color w:val="000000" w:themeColor="text1"/>
        </w:rPr>
        <w:t>and bis numbered 30</w:t>
      </w:r>
      <w:r>
        <w:rPr>
          <w:color w:val="000000" w:themeColor="text1"/>
        </w:rPr>
        <w:t>634</w:t>
      </w:r>
      <w:r w:rsidRPr="00822B0A">
        <w:rPr>
          <w:color w:val="000000" w:themeColor="text1"/>
        </w:rPr>
        <w:t>, as per the Natural Gas Market Certificate Regulation, the fees for obtaining certificate, certificate renewal, modification, getting a copy, visa fees and the service fees to be collected by the distribution companies liable to grantinternal installations and service lines certificates were determined for 201</w:t>
      </w:r>
      <w:r>
        <w:rPr>
          <w:color w:val="000000" w:themeColor="text1"/>
        </w:rPr>
        <w:t>9</w:t>
      </w:r>
      <w:r w:rsidRPr="00822B0A">
        <w:rPr>
          <w:color w:val="000000" w:themeColor="text1"/>
        </w:rPr>
        <w:t xml:space="preserve">.  </w:t>
      </w:r>
    </w:p>
    <w:p w:rsidR="00FE7FEB" w:rsidRDefault="00FE7FEB" w:rsidP="00FE7FEB"/>
    <w:p w:rsidR="00FE7FEB" w:rsidRPr="000B181C" w:rsidRDefault="00FE7FEB" w:rsidP="000B181C">
      <w:pPr>
        <w:pStyle w:val="Balk2"/>
      </w:pPr>
      <w:bookmarkStart w:id="249" w:name="_Toc12956346"/>
      <w:r w:rsidRPr="000B181C">
        <w:t>4.3.Petroleum Market Tariffs</w:t>
      </w:r>
      <w:bookmarkEnd w:id="249"/>
    </w:p>
    <w:p w:rsidR="00FE7FEB" w:rsidRPr="00822B0A" w:rsidRDefault="00FE7FEB" w:rsidP="00FE7FEB">
      <w:pPr>
        <w:spacing w:after="120" w:line="240" w:lineRule="auto"/>
        <w:jc w:val="both"/>
      </w:pPr>
      <w:r w:rsidRPr="00822B0A">
        <w:t>Upon the effectiveness of the P</w:t>
      </w:r>
      <w:r>
        <w:t>e</w:t>
      </w:r>
      <w:r w:rsidRPr="00822B0A">
        <w:t xml:space="preserve">troleum Market Law No:5015, free price implementation started as of 01/01/2005. In petroleum sales and purchases it was adopted to take into consideration the nearest accessible world free market conditions. The price is accepted as; the market price formed in the nearest delivery port or the refining undertaking for domestic crude petroleum.   </w:t>
      </w:r>
    </w:p>
    <w:p w:rsidR="00FE7FEB" w:rsidRPr="00822B0A" w:rsidRDefault="00FE7FEB" w:rsidP="00FE7FEB">
      <w:pPr>
        <w:spacing w:after="120" w:line="240" w:lineRule="auto"/>
        <w:jc w:val="both"/>
      </w:pPr>
      <w:r w:rsidRPr="00822B0A">
        <w:t xml:space="preserve">The tariffs in the Petroleum Market can be considered in four categories according to the process they are subject to; namely; </w:t>
      </w:r>
    </w:p>
    <w:p w:rsidR="00FE7FEB" w:rsidRPr="00822B0A" w:rsidRDefault="00FE7FEB" w:rsidP="00E37E90">
      <w:pPr>
        <w:pStyle w:val="ListeParagraf"/>
        <w:numPr>
          <w:ilvl w:val="0"/>
          <w:numId w:val="21"/>
        </w:numPr>
        <w:spacing w:after="120" w:line="240" w:lineRule="auto"/>
        <w:jc w:val="both"/>
      </w:pPr>
      <w:r w:rsidRPr="003F07CB">
        <w:rPr>
          <w:b/>
        </w:rPr>
        <w:t>Tariffs Subject to Approval</w:t>
      </w:r>
      <w:r w:rsidRPr="00822B0A">
        <w:t>: Are the transmission tariffs for the transmission activity performed within the scope of transmission license and the tariffs for licensed storage activities in the storage facilities connected to the transmission lines.</w:t>
      </w:r>
    </w:p>
    <w:p w:rsidR="00FE7FEB" w:rsidRPr="00822B0A" w:rsidRDefault="00FE7FEB" w:rsidP="00E37E90">
      <w:pPr>
        <w:pStyle w:val="ListeParagraf"/>
        <w:numPr>
          <w:ilvl w:val="0"/>
          <w:numId w:val="21"/>
        </w:numPr>
        <w:spacing w:after="120" w:line="240" w:lineRule="auto"/>
        <w:jc w:val="both"/>
      </w:pPr>
      <w:r w:rsidRPr="003F07CB">
        <w:rPr>
          <w:b/>
        </w:rPr>
        <w:t>Tariffs Subject to Notification</w:t>
      </w:r>
      <w:r w:rsidRPr="00822B0A">
        <w:t>:  Are the tariffs for licensed storage activities not connected to the processing and transmission lines and the changes in the price cap tariffs of the refining undertakings and distributors. Such tariffs are applied after being notified to the Authority.</w:t>
      </w:r>
    </w:p>
    <w:p w:rsidR="00FE7FEB" w:rsidRPr="00822B0A" w:rsidRDefault="00FE7FEB" w:rsidP="00E37E90">
      <w:pPr>
        <w:pStyle w:val="ListeParagraf"/>
        <w:numPr>
          <w:ilvl w:val="0"/>
          <w:numId w:val="21"/>
        </w:numPr>
        <w:spacing w:after="120" w:line="240" w:lineRule="auto"/>
        <w:jc w:val="both"/>
      </w:pPr>
      <w:r w:rsidRPr="003F07CB">
        <w:rPr>
          <w:b/>
        </w:rPr>
        <w:t>Price Announcement</w:t>
      </w:r>
      <w:r w:rsidRPr="00822B0A">
        <w:t>: Are the prices announced as the liquid fuel price caps at the boards visibly placed in the liquid fuel stations by the vendors and which don’t require approval and notification.</w:t>
      </w:r>
    </w:p>
    <w:p w:rsidR="00FE7FEB" w:rsidRPr="00822B0A" w:rsidRDefault="00FE7FEB" w:rsidP="00E37E90">
      <w:pPr>
        <w:pStyle w:val="ListeParagraf"/>
        <w:numPr>
          <w:ilvl w:val="0"/>
          <w:numId w:val="21"/>
        </w:numPr>
        <w:spacing w:after="120" w:line="240" w:lineRule="auto"/>
        <w:jc w:val="both"/>
      </w:pPr>
      <w:r w:rsidRPr="003F07CB">
        <w:rPr>
          <w:b/>
        </w:rPr>
        <w:t>Price List</w:t>
      </w:r>
      <w:r w:rsidRPr="00822B0A">
        <w:t xml:space="preserve">: Is the changes in the price lists notified to the Authority regarding the products within the scope of the processing license holders. </w:t>
      </w:r>
    </w:p>
    <w:p w:rsidR="00FE7FEB" w:rsidRPr="00822B0A" w:rsidRDefault="00FE7FEB" w:rsidP="00FE7FEB">
      <w:pPr>
        <w:spacing w:after="120" w:line="240" w:lineRule="auto"/>
        <w:jc w:val="both"/>
      </w:pPr>
      <w:r w:rsidRPr="00822B0A">
        <w:t>The database for electronic notification and monitoring of the liquid fuel tank prices of the distributors and the prices they suggest t</w:t>
      </w:r>
      <w:r>
        <w:t>o the vendors or the price caps</w:t>
      </w:r>
      <w:r w:rsidRPr="00822B0A">
        <w:t xml:space="preserve"> they determine on behalf of the vendors has been established. The database is updated by the electronic notifications of the distribution companies. After compiling the database the vendor prices and Public Procurement Authority index are announced to the public. As a result of the data gathered, ceilling prices of vendors as per cities and İstanbul Euroepan Side average liquid fuel prices of 8 companies with the highest transaction volume to be used in liquid fuel price difference calculations within the scope of Public Procurement Legislation are announced to the public.</w:t>
      </w:r>
    </w:p>
    <w:p w:rsidR="00FE7FEB" w:rsidRPr="00822B0A" w:rsidRDefault="00FE7FEB" w:rsidP="00FE7FEB">
      <w:pPr>
        <w:spacing w:after="120" w:line="240" w:lineRule="auto"/>
        <w:jc w:val="both"/>
      </w:pPr>
      <w:r w:rsidRPr="00822B0A">
        <w:t xml:space="preserve">As per the Article 10 of the Law no:5015,  the refining undertakings and distributors shall notify the Authority of the prices of their activities as price caps taking into consideration the price formations in the attainable world free markets.  </w:t>
      </w:r>
    </w:p>
    <w:p w:rsidR="00FE7FEB" w:rsidRPr="00822B0A" w:rsidRDefault="00FE7FEB" w:rsidP="00FE7FEB">
      <w:pPr>
        <w:spacing w:after="120" w:line="240" w:lineRule="auto"/>
        <w:jc w:val="both"/>
      </w:pPr>
      <w:r w:rsidRPr="00822B0A">
        <w:t>Within the scope of the Law No: 5015; the pricing implementations of the refining undertaking license holder TÜPRAŞ and the distribution license holders whose total market shares equal to 90% of the market are scrutinized within the framework of;</w:t>
      </w:r>
    </w:p>
    <w:p w:rsidR="00FE7FEB" w:rsidRPr="00EB26F0" w:rsidRDefault="00FE7FEB" w:rsidP="00E37E90">
      <w:pPr>
        <w:pStyle w:val="ListeParagraf"/>
        <w:numPr>
          <w:ilvl w:val="0"/>
          <w:numId w:val="20"/>
        </w:numPr>
        <w:spacing w:after="120" w:line="240" w:lineRule="auto"/>
        <w:jc w:val="both"/>
      </w:pPr>
      <w:r w:rsidRPr="00EB26F0">
        <w:t>Price formation,</w:t>
      </w:r>
    </w:p>
    <w:p w:rsidR="00FE7FEB" w:rsidRPr="00EB26F0" w:rsidRDefault="00FE7FEB" w:rsidP="00E37E90">
      <w:pPr>
        <w:pStyle w:val="ListeParagraf"/>
        <w:numPr>
          <w:ilvl w:val="0"/>
          <w:numId w:val="20"/>
        </w:numPr>
        <w:spacing w:after="120" w:line="240" w:lineRule="auto"/>
        <w:jc w:val="both"/>
      </w:pPr>
      <w:r w:rsidRPr="00EB26F0">
        <w:t>Liquid fuel prices in our country,</w:t>
      </w:r>
    </w:p>
    <w:p w:rsidR="00FE7FEB" w:rsidRPr="00EB26F0" w:rsidRDefault="00FE7FEB" w:rsidP="00E37E90">
      <w:pPr>
        <w:pStyle w:val="ListeParagraf"/>
        <w:numPr>
          <w:ilvl w:val="0"/>
          <w:numId w:val="20"/>
        </w:numPr>
        <w:spacing w:after="120" w:line="240" w:lineRule="auto"/>
        <w:jc w:val="both"/>
      </w:pPr>
      <w:r w:rsidRPr="00EB26F0">
        <w:t>Change in these prices by years,</w:t>
      </w:r>
    </w:p>
    <w:p w:rsidR="00FE7FEB" w:rsidRPr="00EB26F0" w:rsidRDefault="00FE7FEB" w:rsidP="00E37E90">
      <w:pPr>
        <w:pStyle w:val="ListeParagraf"/>
        <w:numPr>
          <w:ilvl w:val="0"/>
          <w:numId w:val="20"/>
        </w:numPr>
        <w:spacing w:after="120" w:line="240" w:lineRule="auto"/>
        <w:jc w:val="both"/>
      </w:pPr>
      <w:r w:rsidRPr="00EB26F0">
        <w:t xml:space="preserve">Change in Turkish distribution and vendor shares, </w:t>
      </w:r>
    </w:p>
    <w:p w:rsidR="00FE7FEB" w:rsidRPr="00EB26F0" w:rsidRDefault="00FE7FEB" w:rsidP="00E37E90">
      <w:pPr>
        <w:pStyle w:val="ListeParagraf"/>
        <w:numPr>
          <w:ilvl w:val="0"/>
          <w:numId w:val="20"/>
        </w:numPr>
        <w:spacing w:after="120" w:line="240" w:lineRule="auto"/>
        <w:jc w:val="both"/>
      </w:pPr>
      <w:r w:rsidRPr="00EB26F0">
        <w:t>Reflecting the price movements to the consumers,</w:t>
      </w:r>
    </w:p>
    <w:p w:rsidR="00FE7FEB" w:rsidRPr="00EB26F0" w:rsidRDefault="00FE7FEB" w:rsidP="00E37E90">
      <w:pPr>
        <w:pStyle w:val="ListeParagraf"/>
        <w:numPr>
          <w:ilvl w:val="0"/>
          <w:numId w:val="20"/>
        </w:numPr>
        <w:spacing w:after="120" w:line="240" w:lineRule="auto"/>
        <w:jc w:val="both"/>
      </w:pPr>
      <w:r w:rsidRPr="00EB26F0">
        <w:t>Benchmarking of the prices formed in the closest accessible world free markets and EU and Turkey.</w:t>
      </w:r>
    </w:p>
    <w:p w:rsidR="00FE7FEB" w:rsidRPr="00822B0A" w:rsidRDefault="00FE7FEB" w:rsidP="00FE7FEB">
      <w:pPr>
        <w:tabs>
          <w:tab w:val="left" w:pos="284"/>
          <w:tab w:val="left" w:pos="567"/>
          <w:tab w:val="left" w:pos="709"/>
          <w:tab w:val="left" w:pos="851"/>
        </w:tabs>
        <w:spacing w:after="120" w:line="240" w:lineRule="auto"/>
        <w:jc w:val="both"/>
      </w:pPr>
      <w:r w:rsidRPr="00822B0A">
        <w:t>The findings were evaluated with market participants and related Ministries in 201</w:t>
      </w:r>
      <w:r>
        <w:t>8.</w:t>
      </w:r>
      <w:r w:rsidRPr="00822B0A">
        <w:t xml:space="preserve"> </w:t>
      </w:r>
    </w:p>
    <w:p w:rsidR="00FE7FEB" w:rsidRDefault="00FE7FEB" w:rsidP="00FE7FEB"/>
    <w:p w:rsidR="00FE7FEB" w:rsidRDefault="00FE7FEB" w:rsidP="00FE7FEB">
      <w:pPr>
        <w:spacing w:after="120" w:line="240" w:lineRule="auto"/>
        <w:jc w:val="both"/>
      </w:pPr>
      <w:r w:rsidRPr="00822B0A">
        <w:t>Opinions were given on the tariff files of the companies which apply to the Authority to obtain distributor, transmission</w:t>
      </w:r>
      <w:r>
        <w:t xml:space="preserve"> and</w:t>
      </w:r>
      <w:r w:rsidRPr="00822B0A">
        <w:t xml:space="preserve"> storage</w:t>
      </w:r>
      <w:r>
        <w:t xml:space="preserve"> </w:t>
      </w:r>
      <w:r w:rsidRPr="00822B0A">
        <w:t>licenses. In addition, the procedures for the amendment of storage and transmission tariffs have been finalized.</w:t>
      </w:r>
    </w:p>
    <w:p w:rsidR="00FE7FEB" w:rsidRDefault="00FE7FEB" w:rsidP="00FE7FEB">
      <w:pPr>
        <w:spacing w:after="120" w:line="240" w:lineRule="auto"/>
        <w:jc w:val="both"/>
      </w:pPr>
    </w:p>
    <w:p w:rsidR="00FE7FEB" w:rsidRDefault="00FE7FEB" w:rsidP="00FE7FEB">
      <w:pPr>
        <w:autoSpaceDE w:val="0"/>
        <w:autoSpaceDN w:val="0"/>
        <w:adjustRightInd w:val="0"/>
        <w:spacing w:after="120" w:line="240" w:lineRule="auto"/>
        <w:jc w:val="both"/>
      </w:pPr>
      <w:r w:rsidRPr="00822B0A">
        <w:t>The third paragraph of Art. 8 of the Petroleum Market Pricing System Regulation stipulates that the license applications whose tariff file sre not deemed appropriate shall be rejected.  Accordingly, the tariff files annexed to the license applications made to the Petroleum Market Department were examined.</w:t>
      </w:r>
    </w:p>
    <w:p w:rsidR="00FE7FEB" w:rsidRPr="008A2B6D" w:rsidRDefault="00FE7FEB" w:rsidP="00FE7FEB">
      <w:pPr>
        <w:autoSpaceDE w:val="0"/>
        <w:autoSpaceDN w:val="0"/>
        <w:adjustRightInd w:val="0"/>
        <w:spacing w:after="120" w:line="240" w:lineRule="auto"/>
        <w:jc w:val="both"/>
      </w:pPr>
    </w:p>
    <w:p w:rsidR="00FE7FEB" w:rsidRPr="000B181C" w:rsidRDefault="00FE7FEB" w:rsidP="009461D6">
      <w:pPr>
        <w:jc w:val="both"/>
      </w:pPr>
      <w:r w:rsidRPr="000B181C">
        <w:t>Within the scope of the Energy Market Notification Regulation, management of the part of the reporting system related to the prices is carried out, price notifications are followed, necessary corrections are made,</w:t>
      </w:r>
    </w:p>
    <w:p w:rsidR="00FE7FEB" w:rsidRPr="00822B0A" w:rsidRDefault="00FE7FEB" w:rsidP="00E37E90">
      <w:pPr>
        <w:pStyle w:val="ListeParagraf"/>
        <w:numPr>
          <w:ilvl w:val="0"/>
          <w:numId w:val="19"/>
        </w:numPr>
        <w:autoSpaceDE w:val="0"/>
        <w:autoSpaceDN w:val="0"/>
        <w:adjustRightInd w:val="0"/>
        <w:spacing w:after="120" w:line="240" w:lineRule="auto"/>
        <w:jc w:val="both"/>
      </w:pPr>
      <w:r w:rsidRPr="00822B0A">
        <w:t>Through the information system, not only the domestic prices are monitored but also the foreign price movements are followed up within the scope of Platts subscription the prices and FOB and CIF prices of products such as crude oil (brent dated) and benzene, diesel, fuel oil types, kerosene, jet fuel and liquid fuel prices with and without tax in the EU member states are monitored. The data gathered are used in reports and analiysis to monitor the price movements of the distributor and refining undertaking license hıolders within the scope of the closest attainable free market price formation. In this respect “Petroleum Market Pricing Reports” started to be published annuaaly in 2014 also continued to e published in EMRA2s web site in 201</w:t>
      </w:r>
      <w:r>
        <w:t>8</w:t>
      </w:r>
      <w:r w:rsidRPr="00822B0A">
        <w:t xml:space="preserve">. </w:t>
      </w:r>
    </w:p>
    <w:p w:rsidR="00FE7FEB" w:rsidRDefault="00FE7FEB" w:rsidP="00FE7FEB">
      <w:pPr>
        <w:pStyle w:val="Balk3"/>
        <w:spacing w:before="0" w:after="120" w:line="240" w:lineRule="auto"/>
        <w:jc w:val="both"/>
        <w:rPr>
          <w:b w:val="0"/>
          <w:bCs/>
          <w:color w:val="000000" w:themeColor="text1"/>
        </w:rPr>
      </w:pPr>
    </w:p>
    <w:p w:rsidR="00FE7FEB" w:rsidRPr="000B181C" w:rsidRDefault="00FE7FEB" w:rsidP="000B181C">
      <w:pPr>
        <w:pStyle w:val="Balk3"/>
      </w:pPr>
      <w:bookmarkStart w:id="250" w:name="_Toc12956347"/>
      <w:r w:rsidRPr="000B181C">
        <w:t>4.3.1.License Fees</w:t>
      </w:r>
      <w:bookmarkEnd w:id="250"/>
    </w:p>
    <w:p w:rsidR="00FE7FEB" w:rsidRPr="00822B0A" w:rsidRDefault="00FE7FEB" w:rsidP="00FE7FEB">
      <w:pPr>
        <w:spacing w:after="120" w:line="240" w:lineRule="auto"/>
        <w:jc w:val="both"/>
        <w:rPr>
          <w:rFonts w:cs="Arial"/>
          <w:color w:val="000000" w:themeColor="text1"/>
        </w:rPr>
      </w:pPr>
      <w:r w:rsidRPr="00822B0A">
        <w:rPr>
          <w:rFonts w:cs="Arial"/>
          <w:color w:val="000000" w:themeColor="text1"/>
        </w:rPr>
        <w:t xml:space="preserve">With the Board Decision dated </w:t>
      </w:r>
      <w:r>
        <w:rPr>
          <w:rFonts w:cs="Arial"/>
          <w:color w:val="000000" w:themeColor="text1"/>
        </w:rPr>
        <w:t xml:space="preserve">20.12.2018 </w:t>
      </w:r>
      <w:r w:rsidRPr="00822B0A">
        <w:rPr>
          <w:rFonts w:cs="Arial"/>
          <w:color w:val="000000" w:themeColor="text1"/>
        </w:rPr>
        <w:t xml:space="preserve">and numbered </w:t>
      </w:r>
      <w:r>
        <w:rPr>
          <w:rFonts w:cs="Arial"/>
          <w:color w:val="000000" w:themeColor="text1"/>
        </w:rPr>
        <w:t>8278</w:t>
      </w:r>
      <w:r w:rsidRPr="00822B0A">
        <w:rPr>
          <w:rFonts w:cs="Arial"/>
          <w:color w:val="000000" w:themeColor="text1"/>
        </w:rPr>
        <w:t xml:space="preserve"> published in the Official Gazette dated </w:t>
      </w:r>
      <w:r>
        <w:rPr>
          <w:rFonts w:cs="Arial"/>
          <w:color w:val="000000" w:themeColor="text1"/>
        </w:rPr>
        <w:t xml:space="preserve">23.12.2018 </w:t>
      </w:r>
      <w:r w:rsidRPr="00822B0A">
        <w:rPr>
          <w:rFonts w:cs="Arial"/>
          <w:color w:val="000000" w:themeColor="text1"/>
        </w:rPr>
        <w:t xml:space="preserve">and bis numbered </w:t>
      </w:r>
      <w:r>
        <w:rPr>
          <w:rFonts w:cs="Arial"/>
          <w:color w:val="000000" w:themeColor="text1"/>
        </w:rPr>
        <w:t>30634</w:t>
      </w:r>
      <w:r w:rsidRPr="00822B0A">
        <w:rPr>
          <w:rFonts w:cs="Arial"/>
          <w:color w:val="000000" w:themeColor="text1"/>
        </w:rPr>
        <w:t>, the fees for license acquisition, license modification, extension, getting a copy of the license, tariff approval, liquid fule trade permit and coupon service were determined for 2018.</w:t>
      </w:r>
    </w:p>
    <w:p w:rsidR="00FE7FEB" w:rsidRPr="000B181C" w:rsidRDefault="00FE7FEB" w:rsidP="009461D6">
      <w:pPr>
        <w:jc w:val="both"/>
      </w:pPr>
      <w:r w:rsidRPr="000B181C">
        <w:t xml:space="preserve">With the Board Decision dated </w:t>
      </w:r>
      <w:r w:rsidRPr="000B181C">
        <w:rPr>
          <w:rFonts w:cstheme="minorHAnsi"/>
        </w:rPr>
        <w:t>20.12.2018</w:t>
      </w:r>
      <w:r w:rsidRPr="000B181C">
        <w:t xml:space="preserve"> and numbered</w:t>
      </w:r>
      <w:r w:rsidRPr="000B181C">
        <w:rPr>
          <w:rFonts w:cstheme="minorHAnsi"/>
        </w:rPr>
        <w:t xml:space="preserve"> 8281</w:t>
      </w:r>
      <w:r w:rsidRPr="000B181C">
        <w:t xml:space="preserve"> published in the Official Gazette dated </w:t>
      </w:r>
      <w:r w:rsidRPr="000B181C">
        <w:rPr>
          <w:rFonts w:cstheme="minorHAnsi"/>
        </w:rPr>
        <w:t>23.12.2018</w:t>
      </w:r>
      <w:r w:rsidRPr="000B181C">
        <w:t xml:space="preserve"> and bis numbered </w:t>
      </w:r>
      <w:r w:rsidRPr="000B181C">
        <w:rPr>
          <w:rFonts w:cstheme="minorHAnsi"/>
        </w:rPr>
        <w:t>30634</w:t>
      </w:r>
      <w:r w:rsidRPr="000B181C">
        <w:t>, the contribution fees for 2019, the real and legal persons are liable to pay in the Petroleum Market as per Art.10 of the Law No:4628 amended by the sub-paragraph (a) of the paragraph (c) of Art.27 of the Law No:5015 were determined.</w:t>
      </w:r>
    </w:p>
    <w:p w:rsidR="00FE7FEB" w:rsidRPr="006A294B" w:rsidRDefault="00FE7FEB" w:rsidP="00FE7FEB"/>
    <w:p w:rsidR="00FE7FEB" w:rsidRPr="000B181C" w:rsidRDefault="00FE7FEB" w:rsidP="000B181C">
      <w:pPr>
        <w:pStyle w:val="Balk2"/>
      </w:pPr>
      <w:bookmarkStart w:id="251" w:name="_Toc442431287"/>
      <w:bookmarkStart w:id="252" w:name="_Toc505346086"/>
      <w:bookmarkStart w:id="253" w:name="_Toc514251667"/>
      <w:bookmarkStart w:id="254" w:name="_Toc12956348"/>
      <w:r w:rsidRPr="000B181C">
        <w:t xml:space="preserve">4.4.Prices in the Liquefied Petroleum Gases (LPG) </w:t>
      </w:r>
      <w:bookmarkEnd w:id="251"/>
      <w:bookmarkEnd w:id="252"/>
      <w:bookmarkEnd w:id="253"/>
      <w:r w:rsidRPr="000B181C">
        <w:t>Market</w:t>
      </w:r>
      <w:bookmarkEnd w:id="254"/>
    </w:p>
    <w:p w:rsidR="00FE7FEB" w:rsidRDefault="00FE7FEB" w:rsidP="00FE7FEB">
      <w:pPr>
        <w:spacing w:after="120" w:line="240" w:lineRule="auto"/>
        <w:jc w:val="both"/>
      </w:pPr>
      <w:r w:rsidRPr="00822B0A">
        <w:t xml:space="preserve">Liquefied Petroleum Gases Market Law No: 5307 </w:t>
      </w:r>
      <w:r>
        <w:t xml:space="preserve">and </w:t>
      </w:r>
      <w:r w:rsidRPr="00646E9F">
        <w:t>Law Amending the Electricity Market Law and Liquefied Petroleum Gas (LPG) Market License Regulation</w:t>
      </w:r>
      <w:r>
        <w:t xml:space="preserve"> </w:t>
      </w:r>
      <w:r w:rsidRPr="00822B0A">
        <w:t>foresees that the prices for buying and selling LPG will be in accordance with the accesible free world market conditions. According to the law, Refining Undertakings and Distributors report the prices of their market activities under the Licenses to the Authority at the ceiling prices, taking into account the price formation in accessible world free markets.</w:t>
      </w:r>
    </w:p>
    <w:p w:rsidR="00FE7FEB" w:rsidRPr="00822B0A" w:rsidRDefault="00FE7FEB" w:rsidP="00FE7FEB">
      <w:pPr>
        <w:spacing w:after="120" w:line="240" w:lineRule="auto"/>
        <w:jc w:val="both"/>
      </w:pPr>
      <w:r w:rsidRPr="00822B0A">
        <w:t>In this context, developments in domestic LPG prices were regularly monitored, taking into account the ceiling price notifications given by Refining Undertakings and Distributors about their market activities under the Licenses. Comprehensive studies have been carried out on auto gas prices in addition to the regular notifications given to the Agency. Price developments in our country's LPG market are compared with price movements in EU countries, taking into account other market-relevant parameters.</w:t>
      </w:r>
    </w:p>
    <w:p w:rsidR="00FE7FEB" w:rsidRPr="00C61C5B" w:rsidRDefault="00FE7FEB" w:rsidP="00FE7FEB">
      <w:pPr>
        <w:spacing w:after="120" w:line="240" w:lineRule="auto"/>
        <w:jc w:val="both"/>
      </w:pPr>
    </w:p>
    <w:p w:rsidR="00FE7FEB" w:rsidRPr="000B181C" w:rsidRDefault="00FE7FEB" w:rsidP="000B181C">
      <w:pPr>
        <w:pStyle w:val="Balk3"/>
      </w:pPr>
      <w:bookmarkStart w:id="255" w:name="_Toc442431288"/>
      <w:bookmarkStart w:id="256" w:name="_Toc505346087"/>
      <w:bookmarkStart w:id="257" w:name="_Toc514251668"/>
      <w:bookmarkStart w:id="258" w:name="_Toc12956349"/>
      <w:r w:rsidRPr="000B181C">
        <w:t xml:space="preserve">4.4.1.License </w:t>
      </w:r>
      <w:bookmarkEnd w:id="255"/>
      <w:bookmarkEnd w:id="256"/>
      <w:bookmarkEnd w:id="257"/>
      <w:r w:rsidRPr="000B181C">
        <w:t>Fees</w:t>
      </w:r>
      <w:bookmarkEnd w:id="258"/>
    </w:p>
    <w:p w:rsidR="00FE7FEB" w:rsidRPr="00822B0A" w:rsidRDefault="00FE7FEB" w:rsidP="00FE7FEB">
      <w:pPr>
        <w:spacing w:after="120" w:line="240" w:lineRule="auto"/>
        <w:jc w:val="both"/>
        <w:rPr>
          <w:color w:val="000000" w:themeColor="text1"/>
        </w:rPr>
      </w:pPr>
      <w:r w:rsidRPr="00822B0A">
        <w:rPr>
          <w:rFonts w:cs="Arial"/>
          <w:color w:val="000000" w:themeColor="text1"/>
        </w:rPr>
        <w:t xml:space="preserve">With the Board Decision dated </w:t>
      </w:r>
      <w:r>
        <w:rPr>
          <w:rFonts w:cs="Arial"/>
          <w:color w:val="000000" w:themeColor="text1"/>
        </w:rPr>
        <w:t>20/</w:t>
      </w:r>
      <w:r w:rsidRPr="00822B0A">
        <w:rPr>
          <w:rFonts w:cs="Arial"/>
          <w:color w:val="000000" w:themeColor="text1"/>
        </w:rPr>
        <w:t>12/201</w:t>
      </w:r>
      <w:r>
        <w:rPr>
          <w:rFonts w:cs="Arial"/>
          <w:color w:val="000000" w:themeColor="text1"/>
        </w:rPr>
        <w:t>8</w:t>
      </w:r>
      <w:r w:rsidRPr="00822B0A">
        <w:rPr>
          <w:rFonts w:cs="Arial"/>
          <w:color w:val="000000" w:themeColor="text1"/>
        </w:rPr>
        <w:t xml:space="preserve"> and numbered </w:t>
      </w:r>
      <w:r>
        <w:rPr>
          <w:rFonts w:cs="Arial"/>
          <w:color w:val="000000" w:themeColor="text1"/>
        </w:rPr>
        <w:t>8279</w:t>
      </w:r>
      <w:r w:rsidRPr="00822B0A">
        <w:rPr>
          <w:rFonts w:cs="Arial"/>
          <w:color w:val="000000" w:themeColor="text1"/>
        </w:rPr>
        <w:t xml:space="preserve"> published in the Official Gazette dated </w:t>
      </w:r>
      <w:r>
        <w:rPr>
          <w:rFonts w:cs="Arial"/>
          <w:color w:val="000000" w:themeColor="text1"/>
        </w:rPr>
        <w:t>23</w:t>
      </w:r>
      <w:r w:rsidRPr="00822B0A">
        <w:rPr>
          <w:rFonts w:cs="Arial"/>
          <w:color w:val="000000" w:themeColor="text1"/>
        </w:rPr>
        <w:t>/12/201</w:t>
      </w:r>
      <w:r>
        <w:rPr>
          <w:rFonts w:cs="Arial"/>
          <w:color w:val="000000" w:themeColor="text1"/>
        </w:rPr>
        <w:t>8</w:t>
      </w:r>
      <w:r w:rsidRPr="00822B0A">
        <w:rPr>
          <w:rFonts w:cs="Arial"/>
          <w:color w:val="000000" w:themeColor="text1"/>
        </w:rPr>
        <w:t xml:space="preserve"> and bis numbered 30</w:t>
      </w:r>
      <w:r>
        <w:rPr>
          <w:rFonts w:cs="Arial"/>
          <w:color w:val="000000" w:themeColor="text1"/>
        </w:rPr>
        <w:t>634</w:t>
      </w:r>
      <w:r w:rsidRPr="00822B0A">
        <w:rPr>
          <w:rFonts w:cs="Arial"/>
          <w:color w:val="000000" w:themeColor="text1"/>
        </w:rPr>
        <w:t xml:space="preserve">, as per the </w:t>
      </w:r>
      <w:r w:rsidRPr="00822B0A">
        <w:t xml:space="preserve">Liquefied Petroleum Gases (LPG) Law No:5307 and the </w:t>
      </w:r>
      <w:r w:rsidRPr="00822B0A">
        <w:rPr>
          <w:color w:val="000000"/>
        </w:rPr>
        <w:t xml:space="preserve">Liquefied Petroleum Gases (LPG) Market License </w:t>
      </w:r>
      <w:r w:rsidRPr="00822B0A">
        <w:t>Regulation</w:t>
      </w:r>
      <w:r>
        <w:t xml:space="preserve"> and </w:t>
      </w:r>
      <w:r w:rsidRPr="00C61C5B">
        <w:t>Law Amending the Electricity Market Law and Liquefied Petroleum Gas (LPG) Market License Regulation</w:t>
      </w:r>
      <w:r w:rsidRPr="00822B0A">
        <w:t xml:space="preserve">,  fees for licence acquisition, license modification, extension and getting a coy of the license were determined.  </w:t>
      </w:r>
    </w:p>
    <w:p w:rsidR="00FE7FEB" w:rsidRPr="00822B0A" w:rsidRDefault="00FE7FEB" w:rsidP="00FE7FEB">
      <w:pPr>
        <w:spacing w:after="120" w:line="240" w:lineRule="auto"/>
        <w:jc w:val="both"/>
      </w:pPr>
      <w:r w:rsidRPr="00822B0A">
        <w:rPr>
          <w:rFonts w:cs="Arial"/>
          <w:color w:val="000000" w:themeColor="text1"/>
        </w:rPr>
        <w:t>With the Board Decision dated 2</w:t>
      </w:r>
      <w:r>
        <w:rPr>
          <w:rFonts w:cs="Arial"/>
          <w:color w:val="000000" w:themeColor="text1"/>
        </w:rPr>
        <w:t>0</w:t>
      </w:r>
      <w:r w:rsidRPr="00822B0A">
        <w:rPr>
          <w:rFonts w:cs="Arial"/>
          <w:color w:val="000000" w:themeColor="text1"/>
        </w:rPr>
        <w:t>/12/201</w:t>
      </w:r>
      <w:r>
        <w:rPr>
          <w:rFonts w:cs="Arial"/>
          <w:color w:val="000000" w:themeColor="text1"/>
        </w:rPr>
        <w:t>8</w:t>
      </w:r>
      <w:r w:rsidRPr="00822B0A">
        <w:rPr>
          <w:rFonts w:cs="Arial"/>
          <w:color w:val="000000" w:themeColor="text1"/>
        </w:rPr>
        <w:t xml:space="preserve"> and numbered </w:t>
      </w:r>
      <w:r>
        <w:rPr>
          <w:rFonts w:cs="Arial"/>
          <w:color w:val="000000" w:themeColor="text1"/>
        </w:rPr>
        <w:t>8282</w:t>
      </w:r>
      <w:r w:rsidRPr="00822B0A">
        <w:rPr>
          <w:rFonts w:cs="Arial"/>
          <w:color w:val="000000" w:themeColor="text1"/>
        </w:rPr>
        <w:t xml:space="preserve"> published in the Official Gazette dated </w:t>
      </w:r>
      <w:r>
        <w:rPr>
          <w:rFonts w:cs="Arial"/>
          <w:color w:val="000000" w:themeColor="text1"/>
        </w:rPr>
        <w:t>23</w:t>
      </w:r>
      <w:r w:rsidRPr="00822B0A">
        <w:rPr>
          <w:rFonts w:cs="Arial"/>
          <w:color w:val="000000" w:themeColor="text1"/>
        </w:rPr>
        <w:t>/12/201</w:t>
      </w:r>
      <w:r>
        <w:rPr>
          <w:rFonts w:cs="Arial"/>
          <w:color w:val="000000" w:themeColor="text1"/>
        </w:rPr>
        <w:t>8</w:t>
      </w:r>
      <w:r w:rsidRPr="00822B0A">
        <w:rPr>
          <w:rFonts w:cs="Arial"/>
          <w:color w:val="000000" w:themeColor="text1"/>
        </w:rPr>
        <w:t xml:space="preserve"> and bis numbered; the contribution fees to be applied in the LPG Market in 201</w:t>
      </w:r>
      <w:r>
        <w:rPr>
          <w:rFonts w:cs="Arial"/>
          <w:color w:val="000000" w:themeColor="text1"/>
        </w:rPr>
        <w:t>9</w:t>
      </w:r>
      <w:r w:rsidRPr="00822B0A">
        <w:rPr>
          <w:rFonts w:cs="Arial"/>
          <w:color w:val="000000" w:themeColor="text1"/>
        </w:rPr>
        <w:t xml:space="preserve"> were determined as per the related articles of the related legislation.</w:t>
      </w:r>
    </w:p>
    <w:p w:rsidR="00FE7FEB" w:rsidRDefault="00FE7FEB" w:rsidP="00FE7FEB">
      <w:pPr>
        <w:pStyle w:val="Balk3"/>
        <w:spacing w:before="0" w:after="120" w:line="240" w:lineRule="auto"/>
        <w:jc w:val="both"/>
        <w:rPr>
          <w:color w:val="000000" w:themeColor="text1"/>
        </w:rPr>
      </w:pPr>
    </w:p>
    <w:p w:rsidR="00FE7FEB" w:rsidRPr="002F6996" w:rsidRDefault="00FE7FEB" w:rsidP="000B181C">
      <w:pPr>
        <w:pStyle w:val="Balk1"/>
      </w:pPr>
      <w:bookmarkStart w:id="259" w:name="_Toc12956350"/>
      <w:r>
        <w:t>5. I</w:t>
      </w:r>
      <w:r w:rsidRPr="002F6996">
        <w:t>NFORMATION SYSTEMS AND AUTOMATION ACTIVITIES</w:t>
      </w:r>
      <w:bookmarkEnd w:id="259"/>
    </w:p>
    <w:p w:rsidR="00FE7FEB" w:rsidRDefault="00FE7FEB" w:rsidP="00FE7FEB">
      <w:pPr>
        <w:spacing w:after="120" w:line="240" w:lineRule="auto"/>
        <w:jc w:val="both"/>
        <w:rPr>
          <w:color w:val="000000" w:themeColor="text1"/>
        </w:rPr>
      </w:pPr>
      <w:r w:rsidRPr="00EE4595">
        <w:rPr>
          <w:color w:val="000000" w:themeColor="text1"/>
        </w:rPr>
        <w:t xml:space="preserve">This section describes the activities carried out within the scope of the automation activities carried out within the Authority. </w:t>
      </w:r>
    </w:p>
    <w:p w:rsidR="00FE7FEB" w:rsidRDefault="00FE7FEB" w:rsidP="00FE7FEB">
      <w:pPr>
        <w:spacing w:after="120" w:line="240" w:lineRule="auto"/>
        <w:jc w:val="both"/>
        <w:rPr>
          <w:color w:val="000000" w:themeColor="text1"/>
        </w:rPr>
      </w:pPr>
      <w:r w:rsidRPr="004B1B0D">
        <w:rPr>
          <w:color w:val="000000" w:themeColor="text1"/>
        </w:rPr>
        <w:t xml:space="preserve">Within the scope of Information Systems, EPVYS, EBIS, EPARS, EBYS, ERP have been established within </w:t>
      </w:r>
      <w:r>
        <w:rPr>
          <w:color w:val="000000" w:themeColor="text1"/>
        </w:rPr>
        <w:t xml:space="preserve">EMRA </w:t>
      </w:r>
      <w:r w:rsidRPr="004B1B0D">
        <w:rPr>
          <w:color w:val="000000" w:themeColor="text1"/>
        </w:rPr>
        <w:t xml:space="preserve"> and efforts are continuing to develop these systems.</w:t>
      </w:r>
      <w:r w:rsidRPr="004B1B0D">
        <w:t xml:space="preserve"> </w:t>
      </w:r>
      <w:r w:rsidRPr="004B1B0D">
        <w:rPr>
          <w:color w:val="000000" w:themeColor="text1"/>
        </w:rPr>
        <w:t>Significant progress has been made in the establishment, operation of ISMS and the National Cyber Security Strategy and Action Plan 2016-2019. The establishment of the IT infrastructure of the new service building of the Authority has started.</w:t>
      </w:r>
      <w:r>
        <w:rPr>
          <w:color w:val="000000" w:themeColor="text1"/>
        </w:rPr>
        <w:t xml:space="preserve"> </w:t>
      </w:r>
      <w:r w:rsidRPr="004B1B0D">
        <w:rPr>
          <w:color w:val="000000" w:themeColor="text1"/>
        </w:rPr>
        <w:t>Significant progress has been made in the establishment, operation of ISMS and the National Cyber Security Strategy and Action Plan 2016-2019. The establishment of the IT infrastructure of the new service building of the Authority has started.</w:t>
      </w:r>
    </w:p>
    <w:p w:rsidR="00FE7FEB" w:rsidRDefault="00FE7FEB" w:rsidP="00FE7FEB">
      <w:pPr>
        <w:spacing w:after="120" w:line="240" w:lineRule="auto"/>
        <w:jc w:val="both"/>
        <w:rPr>
          <w:color w:val="000000" w:themeColor="text1"/>
        </w:rPr>
      </w:pPr>
      <w:r w:rsidRPr="00EE4595">
        <w:rPr>
          <w:color w:val="000000" w:themeColor="text1"/>
        </w:rPr>
        <w:t>This section contains activities related to the above mentioned systems in 201</w:t>
      </w:r>
      <w:r>
        <w:rPr>
          <w:color w:val="000000" w:themeColor="text1"/>
        </w:rPr>
        <w:t>8.</w:t>
      </w:r>
    </w:p>
    <w:p w:rsidR="00FE7FEB" w:rsidRPr="004B1B0D" w:rsidRDefault="00FE7FEB" w:rsidP="00FE7FEB">
      <w:pPr>
        <w:spacing w:after="120" w:line="240" w:lineRule="auto"/>
        <w:jc w:val="both"/>
        <w:rPr>
          <w:color w:val="000000" w:themeColor="text1"/>
        </w:rPr>
      </w:pPr>
    </w:p>
    <w:p w:rsidR="00FE7FEB" w:rsidRPr="006C597D" w:rsidRDefault="00FE7FEB" w:rsidP="000B181C">
      <w:pPr>
        <w:pStyle w:val="Balk2"/>
      </w:pPr>
      <w:bookmarkStart w:id="260" w:name="_Toc514251671"/>
      <w:bookmarkStart w:id="261" w:name="_Toc12956351"/>
      <w:r w:rsidRPr="006C597D">
        <w:t>5.1.Information Security Management System (BGYS)</w:t>
      </w:r>
      <w:bookmarkEnd w:id="260"/>
      <w:bookmarkEnd w:id="261"/>
    </w:p>
    <w:p w:rsidR="00FE7FEB" w:rsidRDefault="00FE7FEB" w:rsidP="00FE7FEB">
      <w:pPr>
        <w:spacing w:after="120" w:line="240" w:lineRule="auto"/>
        <w:ind w:left="33"/>
        <w:jc w:val="both"/>
        <w:rPr>
          <w:color w:val="000000" w:themeColor="text1"/>
        </w:rPr>
      </w:pPr>
      <w:r w:rsidRPr="00EE4595">
        <w:rPr>
          <w:color w:val="000000" w:themeColor="text1"/>
        </w:rPr>
        <w:t xml:space="preserve">The interim audit has been successfully completed within the scope of the TS ISO / IEC 27001: 2013 certificate obtained with the ISMS studies carried out in the institution. National Cyber Security Strategy and Action Plan 2016-2019; </w:t>
      </w:r>
    </w:p>
    <w:p w:rsidR="00FE7FEB" w:rsidRDefault="00FE7FEB" w:rsidP="00FE7FEB">
      <w:pPr>
        <w:spacing w:after="120" w:line="240" w:lineRule="auto"/>
        <w:ind w:left="33"/>
        <w:jc w:val="both"/>
        <w:rPr>
          <w:color w:val="000000" w:themeColor="text1"/>
        </w:rPr>
      </w:pPr>
      <w:r w:rsidRPr="00EE4595">
        <w:rPr>
          <w:color w:val="000000" w:themeColor="text1"/>
        </w:rPr>
        <w:t xml:space="preserve">Regulation </w:t>
      </w:r>
      <w:r>
        <w:rPr>
          <w:color w:val="000000" w:themeColor="text1"/>
        </w:rPr>
        <w:t>on “</w:t>
      </w:r>
      <w:r w:rsidRPr="00EE4595">
        <w:rPr>
          <w:color w:val="000000" w:themeColor="text1"/>
        </w:rPr>
        <w:t>Information Security in Industrial Control Systems Used in the Energy Sector "published in the Official Gazette dated July 13, 2011 and numbered 30123, as part of the legislative regulations required to ensure that sectoral SOMEs have the power to effectively control and enforce sanctions on corporate SOMEs "(Regulation)</w:t>
      </w:r>
      <w:r w:rsidRPr="006C597D">
        <w:rPr>
          <w:color w:val="000000" w:themeColor="text1"/>
        </w:rPr>
        <w:t xml:space="preserve"> cyber security activities of 19 licensees operating in the electricity and natural gas markets were audited on site.</w:t>
      </w:r>
    </w:p>
    <w:p w:rsidR="00FE7FEB" w:rsidRDefault="00FE7FEB" w:rsidP="00FE7FEB">
      <w:pPr>
        <w:spacing w:after="120" w:line="240" w:lineRule="auto"/>
        <w:ind w:left="33"/>
        <w:jc w:val="both"/>
        <w:rPr>
          <w:color w:val="000000" w:themeColor="text1"/>
        </w:rPr>
      </w:pPr>
      <w:r w:rsidRPr="00CE1F67">
        <w:rPr>
          <w:color w:val="000000" w:themeColor="text1"/>
        </w:rPr>
        <w:t>The Draft Procedures and Principles of Security Analysis and Testing in Industrial Control Systems Used in the Energy Sector were opened for review in 2018 and opinions of both companies operating in the sector and private sector security companies engaged in information security were received.</w:t>
      </w:r>
      <w:r w:rsidRPr="00CE1F67">
        <w:t xml:space="preserve"> </w:t>
      </w:r>
      <w:r w:rsidRPr="00CE1F67">
        <w:rPr>
          <w:color w:val="000000" w:themeColor="text1"/>
        </w:rPr>
        <w:t>It is foreseen that the draft will be published in the first half of 2019 following the evaluation of the draft.</w:t>
      </w:r>
    </w:p>
    <w:p w:rsidR="00FE7FEB" w:rsidRPr="002F6996" w:rsidRDefault="00FE7FEB" w:rsidP="00FE7FEB">
      <w:pPr>
        <w:spacing w:after="120" w:line="240" w:lineRule="auto"/>
        <w:ind w:left="33"/>
        <w:jc w:val="both"/>
        <w:rPr>
          <w:color w:val="000000" w:themeColor="text1"/>
        </w:rPr>
      </w:pPr>
    </w:p>
    <w:p w:rsidR="00FE7FEB" w:rsidRPr="00ED6C8A" w:rsidRDefault="00FE7FEB" w:rsidP="000B181C">
      <w:pPr>
        <w:pStyle w:val="Balk2"/>
      </w:pPr>
      <w:bookmarkStart w:id="262" w:name="_Toc514251672"/>
      <w:bookmarkStart w:id="263" w:name="_Toc12956352"/>
      <w:bookmarkStart w:id="264" w:name="_Toc514251673"/>
      <w:r w:rsidRPr="00ED6C8A">
        <w:t>5.2.Energy Market Analysis and Reporting System (EPARS)</w:t>
      </w:r>
      <w:bookmarkEnd w:id="262"/>
      <w:bookmarkEnd w:id="263"/>
    </w:p>
    <w:p w:rsidR="00FE7FEB" w:rsidRPr="00EE4595" w:rsidRDefault="00FE7FEB" w:rsidP="00FE7FEB">
      <w:pPr>
        <w:spacing w:after="120" w:line="240" w:lineRule="auto"/>
        <w:jc w:val="both"/>
        <w:rPr>
          <w:color w:val="000000" w:themeColor="text1"/>
        </w:rPr>
      </w:pPr>
      <w:r w:rsidRPr="00EE4595">
        <w:rPr>
          <w:color w:val="000000" w:themeColor="text1"/>
        </w:rPr>
        <w:t>EPARS has been established for the analysis and reporting of the energy market information required by the Authority within the scope of EPDK Information Systems Development Project. Data that may be meaningful for analysis and reporting on all the systems used in the institution have been transferred to the data warehouses in this system and other meaningful data in the direction of incoming requests are still being transferred to these data warehouses. With EPARS, data in these data warehouses can be queried and reports can be generated by analyzing them.</w:t>
      </w:r>
    </w:p>
    <w:p w:rsidR="00FE7FEB" w:rsidRPr="00EE4595" w:rsidRDefault="00FE7FEB" w:rsidP="00FE7FEB">
      <w:pPr>
        <w:spacing w:after="120" w:line="240" w:lineRule="auto"/>
        <w:jc w:val="both"/>
        <w:rPr>
          <w:color w:val="000000" w:themeColor="text1"/>
        </w:rPr>
      </w:pPr>
      <w:r w:rsidRPr="00EE4595">
        <w:rPr>
          <w:color w:val="000000" w:themeColor="text1"/>
        </w:rPr>
        <w:t>EPARS; data stored in analysis services, which can be quickly queried depending on several parameters, and this is done from prepared sample reports. In reports; Petroleum, LPG, Electricity, Natural Gas market licensees and companies that are active in the subject sectors are produced from notifications sent to our Agency. Company-to-company accuracy checks are also made with EPARS cross-check reports.</w:t>
      </w:r>
    </w:p>
    <w:p w:rsidR="00FE7FEB" w:rsidRDefault="00FE7FEB" w:rsidP="00FE7FEB">
      <w:pPr>
        <w:spacing w:after="120" w:line="240" w:lineRule="auto"/>
        <w:jc w:val="both"/>
        <w:rPr>
          <w:color w:val="000000" w:themeColor="text1"/>
        </w:rPr>
      </w:pPr>
      <w:r w:rsidRPr="00EE4595">
        <w:rPr>
          <w:color w:val="000000" w:themeColor="text1"/>
        </w:rPr>
        <w:t>In 201</w:t>
      </w:r>
      <w:r>
        <w:rPr>
          <w:color w:val="000000" w:themeColor="text1"/>
        </w:rPr>
        <w:t>8</w:t>
      </w:r>
      <w:r w:rsidRPr="00EE4595">
        <w:rPr>
          <w:color w:val="000000" w:themeColor="text1"/>
        </w:rPr>
        <w:t>, reports produced by EPARS from companies reporting to EMRA (belonging to 4 sectors) increased in line with the new report requests from Department Heads</w:t>
      </w:r>
      <w:r>
        <w:rPr>
          <w:color w:val="000000" w:themeColor="text1"/>
        </w:rPr>
        <w:t xml:space="preserve"> and</w:t>
      </w:r>
      <w:r w:rsidRPr="00ED6C8A">
        <w:t xml:space="preserve"> </w:t>
      </w:r>
      <w:r w:rsidRPr="00ED6C8A">
        <w:rPr>
          <w:color w:val="000000" w:themeColor="text1"/>
        </w:rPr>
        <w:t>update</w:t>
      </w:r>
      <w:r>
        <w:rPr>
          <w:color w:val="000000" w:themeColor="text1"/>
        </w:rPr>
        <w:t>d</w:t>
      </w:r>
      <w:r w:rsidRPr="00ED6C8A">
        <w:rPr>
          <w:color w:val="000000" w:themeColor="text1"/>
        </w:rPr>
        <w:t xml:space="preserve"> to old reports.</w:t>
      </w:r>
    </w:p>
    <w:p w:rsidR="00FE7FEB" w:rsidRDefault="00FE7FEB" w:rsidP="00FE7FEB">
      <w:pPr>
        <w:spacing w:after="120" w:line="240" w:lineRule="auto"/>
        <w:jc w:val="both"/>
        <w:rPr>
          <w:color w:val="000000" w:themeColor="text1"/>
        </w:rPr>
      </w:pPr>
      <w:r w:rsidRPr="00D82D7D">
        <w:rPr>
          <w:color w:val="000000" w:themeColor="text1"/>
        </w:rPr>
        <w:t>In line with the requests from the Audit Department, the Personnel Job Distribution Tracking Table and the current transaction status in the EPVYS Audit Module have been brought into reportable format at the Exhibition.</w:t>
      </w:r>
    </w:p>
    <w:p w:rsidR="00FE7FEB" w:rsidRDefault="00FE7FEB" w:rsidP="00FE7FEB">
      <w:pPr>
        <w:spacing w:after="120" w:line="240" w:lineRule="auto"/>
        <w:jc w:val="both"/>
        <w:rPr>
          <w:color w:val="000000" w:themeColor="text1"/>
        </w:rPr>
      </w:pPr>
      <w:r w:rsidRPr="00D82D7D">
        <w:rPr>
          <w:color w:val="000000" w:themeColor="text1"/>
        </w:rPr>
        <w:t xml:space="preserve">In line with the requests received from the Electricity Market Department, the progress rates of the facilities with “Projects with less than 6 Months of Electricity Market </w:t>
      </w:r>
      <w:r w:rsidR="005F5E6A">
        <w:rPr>
          <w:color w:val="000000" w:themeColor="text1"/>
        </w:rPr>
        <w:t>Pre-license</w:t>
      </w:r>
      <w:r w:rsidRPr="00D82D7D">
        <w:rPr>
          <w:color w:val="000000" w:themeColor="text1"/>
        </w:rPr>
        <w:t xml:space="preserve"> Degree Completion” and Production License have been brought into reportable format.</w:t>
      </w:r>
    </w:p>
    <w:p w:rsidR="00FE7FEB" w:rsidRPr="00EE4595" w:rsidRDefault="00FE7FEB" w:rsidP="00FE7FEB">
      <w:pPr>
        <w:spacing w:after="120" w:line="240" w:lineRule="auto"/>
        <w:jc w:val="both"/>
        <w:rPr>
          <w:color w:val="000000" w:themeColor="text1"/>
        </w:rPr>
      </w:pPr>
      <w:r w:rsidRPr="00D82D7D">
        <w:rPr>
          <w:color w:val="000000" w:themeColor="text1"/>
        </w:rPr>
        <w:t>Necessary web service queries have been prepared in order to meet the data requests from other public institutions with some data coming from EMRA notification system or automation system.</w:t>
      </w:r>
    </w:p>
    <w:p w:rsidR="00FE7FEB" w:rsidRDefault="00FE7FEB" w:rsidP="00FE7FEB">
      <w:pPr>
        <w:pStyle w:val="Balk3"/>
        <w:spacing w:before="0" w:after="120" w:line="240" w:lineRule="auto"/>
        <w:jc w:val="both"/>
        <w:rPr>
          <w:color w:val="000000" w:themeColor="text1"/>
        </w:rPr>
      </w:pPr>
    </w:p>
    <w:p w:rsidR="00FE7FEB" w:rsidRPr="007304C0" w:rsidRDefault="00FE7FEB" w:rsidP="000B181C">
      <w:pPr>
        <w:pStyle w:val="Balk2"/>
      </w:pPr>
      <w:bookmarkStart w:id="265" w:name="_Toc12956353"/>
      <w:r w:rsidRPr="007304C0">
        <w:t>5.3.Electronic Document Management System(E</w:t>
      </w:r>
      <w:r>
        <w:t>BY</w:t>
      </w:r>
      <w:r w:rsidRPr="007304C0">
        <w:t>S)</w:t>
      </w:r>
      <w:bookmarkEnd w:id="264"/>
      <w:bookmarkEnd w:id="265"/>
    </w:p>
    <w:p w:rsidR="00FE7FEB" w:rsidRPr="00EE4595" w:rsidRDefault="00FE7FEB" w:rsidP="00FE7FEB">
      <w:pPr>
        <w:autoSpaceDE w:val="0"/>
        <w:autoSpaceDN w:val="0"/>
        <w:adjustRightInd w:val="0"/>
        <w:spacing w:after="120" w:line="240" w:lineRule="auto"/>
        <w:jc w:val="both"/>
        <w:rPr>
          <w:color w:val="000000" w:themeColor="text1"/>
        </w:rPr>
      </w:pPr>
      <w:r w:rsidRPr="00EE4595">
        <w:rPr>
          <w:color w:val="000000" w:themeColor="text1"/>
        </w:rPr>
        <w:t>EMS has been aligned with Ministry of Development E-Correspondence Package (EYP), TS 13298 standard, Regulation on Principles and Procedures to be Applied in Prime Ministry Official Documents, Prime Ministry Circular No. 2005/7 on Standard File Plan, Electronic Signature Law No. 5070 and Registered Electronic Mail (PEP) . Since January 2016, e-correspondence has been made with Electricity and Natural Gas Distribution Companies and public institutions and organizations. In EBYS, correspondence between public institutions and organizations, especially ministries, is compulsorily e-mailed to those with a certain PEP address.</w:t>
      </w:r>
    </w:p>
    <w:p w:rsidR="00FE7FEB" w:rsidRDefault="00FE7FEB" w:rsidP="00FE7FEB">
      <w:pPr>
        <w:spacing w:after="120" w:line="240" w:lineRule="auto"/>
        <w:jc w:val="both"/>
        <w:rPr>
          <w:color w:val="000000" w:themeColor="text1"/>
        </w:rPr>
      </w:pPr>
      <w:r w:rsidRPr="00EE4595">
        <w:rPr>
          <w:color w:val="000000" w:themeColor="text1"/>
        </w:rPr>
        <w:t>Consumers can access and follow the applications of Information, Complaints and Opinions / Suggestions to our Institutions by using the SMS compliant to the mobile phones from the Consumer Complaints Portal Module, which is compatible with the Web-based BIMER structure that was created and developed towards the end of 2017. In addition to the applications that the consumers have made through our portal, we can also follow the status of the applicants who have reached our institution through CIMER and BİMER and the answers given from this portal.</w:t>
      </w:r>
      <w:r w:rsidRPr="005244F7">
        <w:t xml:space="preserve"> </w:t>
      </w:r>
      <w:r w:rsidRPr="005244F7">
        <w:rPr>
          <w:color w:val="000000" w:themeColor="text1"/>
        </w:rPr>
        <w:t>In addition, EMRA - CIMER Processes integration works started on 9 November 2018 and completed on 27 December 2018 without any problem.</w:t>
      </w:r>
    </w:p>
    <w:p w:rsidR="00FE7FEB" w:rsidRPr="005244F7" w:rsidRDefault="00FE7FEB" w:rsidP="00FE7FEB">
      <w:pPr>
        <w:spacing w:after="120" w:line="240" w:lineRule="auto"/>
        <w:jc w:val="both"/>
        <w:rPr>
          <w:color w:val="000000" w:themeColor="text1"/>
        </w:rPr>
      </w:pPr>
      <w:r w:rsidRPr="005244F7">
        <w:rPr>
          <w:color w:val="000000" w:themeColor="text1"/>
        </w:rPr>
        <w:t>With these processes;</w:t>
      </w:r>
    </w:p>
    <w:p w:rsidR="00FE7FEB" w:rsidRDefault="00FE7FEB" w:rsidP="00E37E90">
      <w:pPr>
        <w:pStyle w:val="ListeParagraf"/>
        <w:numPr>
          <w:ilvl w:val="0"/>
          <w:numId w:val="18"/>
        </w:numPr>
        <w:spacing w:after="120" w:line="240" w:lineRule="auto"/>
        <w:jc w:val="both"/>
        <w:rPr>
          <w:color w:val="000000" w:themeColor="text1"/>
        </w:rPr>
      </w:pPr>
      <w:r w:rsidRPr="005244F7">
        <w:rPr>
          <w:color w:val="000000" w:themeColor="text1"/>
        </w:rPr>
        <w:t>Listing Applications</w:t>
      </w:r>
    </w:p>
    <w:p w:rsidR="00FE7FEB" w:rsidRDefault="00FE7FEB" w:rsidP="00E37E90">
      <w:pPr>
        <w:pStyle w:val="ListeParagraf"/>
        <w:numPr>
          <w:ilvl w:val="0"/>
          <w:numId w:val="18"/>
        </w:numPr>
        <w:spacing w:after="120" w:line="240" w:lineRule="auto"/>
        <w:jc w:val="both"/>
        <w:rPr>
          <w:color w:val="000000" w:themeColor="text1"/>
        </w:rPr>
      </w:pPr>
      <w:r>
        <w:rPr>
          <w:color w:val="000000" w:themeColor="text1"/>
        </w:rPr>
        <w:t>Intake (single or multiple)</w:t>
      </w:r>
    </w:p>
    <w:p w:rsidR="00FE7FEB" w:rsidRDefault="00FE7FEB" w:rsidP="00E37E90">
      <w:pPr>
        <w:pStyle w:val="ListeParagraf"/>
        <w:numPr>
          <w:ilvl w:val="0"/>
          <w:numId w:val="18"/>
        </w:numPr>
        <w:spacing w:after="120" w:line="240" w:lineRule="auto"/>
        <w:jc w:val="both"/>
        <w:rPr>
          <w:color w:val="000000" w:themeColor="text1"/>
        </w:rPr>
      </w:pPr>
      <w:r>
        <w:rPr>
          <w:color w:val="000000" w:themeColor="text1"/>
        </w:rPr>
        <w:t>Debit</w:t>
      </w:r>
    </w:p>
    <w:p w:rsidR="00FE7FEB" w:rsidRDefault="00FE7FEB" w:rsidP="00E37E90">
      <w:pPr>
        <w:pStyle w:val="ListeParagraf"/>
        <w:numPr>
          <w:ilvl w:val="0"/>
          <w:numId w:val="18"/>
        </w:numPr>
        <w:spacing w:after="120" w:line="240" w:lineRule="auto"/>
        <w:jc w:val="both"/>
        <w:rPr>
          <w:color w:val="000000" w:themeColor="text1"/>
        </w:rPr>
      </w:pPr>
      <w:r>
        <w:rPr>
          <w:color w:val="000000" w:themeColor="text1"/>
        </w:rPr>
        <w:t>Reply</w:t>
      </w:r>
    </w:p>
    <w:p w:rsidR="00FE7FEB" w:rsidRDefault="00FE7FEB" w:rsidP="00E37E90">
      <w:pPr>
        <w:pStyle w:val="ListeParagraf"/>
        <w:numPr>
          <w:ilvl w:val="0"/>
          <w:numId w:val="18"/>
        </w:numPr>
        <w:spacing w:after="120" w:line="240" w:lineRule="auto"/>
        <w:jc w:val="both"/>
        <w:rPr>
          <w:color w:val="000000" w:themeColor="text1"/>
        </w:rPr>
      </w:pPr>
      <w:r>
        <w:rPr>
          <w:color w:val="000000" w:themeColor="text1"/>
        </w:rPr>
        <w:t>Credit can be made.</w:t>
      </w:r>
    </w:p>
    <w:p w:rsidR="00FE7FEB" w:rsidRPr="007F3034" w:rsidRDefault="00FE7FEB" w:rsidP="00FE7FEB">
      <w:pPr>
        <w:spacing w:after="120" w:line="240" w:lineRule="auto"/>
        <w:jc w:val="both"/>
        <w:rPr>
          <w:color w:val="000000" w:themeColor="text1"/>
        </w:rPr>
      </w:pPr>
      <w:r w:rsidRPr="00EE4595">
        <w:rPr>
          <w:color w:val="000000" w:themeColor="text1"/>
        </w:rPr>
        <w:t>EMS continues to be used up-to-date with the new versions being passed on to the required requirements</w:t>
      </w:r>
      <w:r>
        <w:rPr>
          <w:color w:val="000000" w:themeColor="text1"/>
        </w:rPr>
        <w:t xml:space="preserve">. </w:t>
      </w:r>
      <w:r w:rsidRPr="007F3034">
        <w:rPr>
          <w:color w:val="000000" w:themeColor="text1"/>
        </w:rPr>
        <w:t>The new interface has been introduced on 12 November 2018 in the</w:t>
      </w:r>
      <w:r>
        <w:rPr>
          <w:color w:val="000000" w:themeColor="text1"/>
        </w:rPr>
        <w:t xml:space="preserve"> EBYS</w:t>
      </w:r>
      <w:r w:rsidRPr="007F3034">
        <w:rPr>
          <w:color w:val="000000" w:themeColor="text1"/>
        </w:rPr>
        <w:t xml:space="preserve"> which has been in use since January 2, 2013.</w:t>
      </w:r>
    </w:p>
    <w:p w:rsidR="00FE7FEB" w:rsidRDefault="00FE7FEB" w:rsidP="00FE7FEB">
      <w:pPr>
        <w:jc w:val="both"/>
      </w:pPr>
      <w:r>
        <w:t>15.03.2018 dated and 30361 published in the Official Gazette No.7101 with the law of PTT CO. INC. has been given the duty of establishing and operating the national electronic notification system and in the Official Gazette dated 06.12.2018 and numbered 30617, the regulation on electronic notification from the Ministry of Justice and the regulation on electronic notification from the Ministry of Justice were published in the scope of the law dated 6 December 2018. Accordingly, since January 1,2019, electronic notification will be sent from the UETS system to the sender and receiver adresses will be given through the system.</w:t>
      </w:r>
    </w:p>
    <w:p w:rsidR="00FE7FEB" w:rsidRPr="007304C0" w:rsidRDefault="00FE7FEB" w:rsidP="00FE7FEB">
      <w:pPr>
        <w:jc w:val="both"/>
      </w:pPr>
      <w:r w:rsidRPr="003A3AAA">
        <w:t>According to the integration guide given by PTT to</w:t>
      </w:r>
      <w:r>
        <w:t xml:space="preserve"> EMRA</w:t>
      </w:r>
      <w:r w:rsidRPr="003A3AAA">
        <w:t>, efforts to integrate the UETS system into our EBYS system started on 19 December 2018. As of January 1, 2019, the physical notification system used in the past will continue to be used until the integration works are completed.</w:t>
      </w:r>
    </w:p>
    <w:p w:rsidR="00FE7FEB" w:rsidRPr="00CF4107" w:rsidRDefault="00FE7FEB" w:rsidP="000B181C">
      <w:pPr>
        <w:pStyle w:val="Balk2"/>
      </w:pPr>
      <w:bookmarkStart w:id="266" w:name="_Toc12956354"/>
      <w:r w:rsidRPr="00CF4107">
        <w:t>5.4.Authority’s web page</w:t>
      </w:r>
      <w:bookmarkEnd w:id="266"/>
      <w:r w:rsidRPr="00CF4107">
        <w:t xml:space="preserve"> </w:t>
      </w:r>
    </w:p>
    <w:p w:rsidR="00FE7FEB" w:rsidRPr="00EE4595" w:rsidRDefault="00FE7FEB" w:rsidP="00FE7FEB">
      <w:pPr>
        <w:spacing w:after="120" w:line="240" w:lineRule="auto"/>
        <w:jc w:val="both"/>
        <w:rPr>
          <w:color w:val="000000" w:themeColor="text1"/>
        </w:rPr>
      </w:pPr>
      <w:r w:rsidRPr="00EE4595">
        <w:rPr>
          <w:color w:val="000000" w:themeColor="text1"/>
        </w:rPr>
        <w:t>The Regulatory Approach Document prepared for the purpose of systematically benefiting from 1</w:t>
      </w:r>
      <w:r>
        <w:rPr>
          <w:color w:val="000000" w:themeColor="text1"/>
        </w:rPr>
        <w:t xml:space="preserve">8 </w:t>
      </w:r>
      <w:r w:rsidRPr="00EE4595">
        <w:rPr>
          <w:color w:val="000000" w:themeColor="text1"/>
        </w:rPr>
        <w:t>years of experience and accumulation of our institution, emphasizing compatibility with top policies and pursuing scientific and technological change pursuant to the Board Resolution No. 7120 dated 08.06.2017. Within this scope, the Agency has started to work on the content of the website in order to improve the content and visual quality in order to respond to the current needs, industry and consumers' information requests. Detailed and reliable information on all announcements / legislation / press statements / events related to the public or stakeholders with the initiatives will be presented to the users with the flexible word search feature and will be designed in accordance with the digital user experience and a functional process and a 6 month process it is planned to provide a user-friendly interface for both the intranet and the web page. It is aimed to achieve the goal of displaying the best from all devices and browsers when the work is finished, and also to offer customized services for mobile devices.</w:t>
      </w:r>
    </w:p>
    <w:p w:rsidR="00FE7FEB" w:rsidRDefault="00FE7FEB" w:rsidP="00E37E90">
      <w:pPr>
        <w:pStyle w:val="ListeParagraf"/>
        <w:numPr>
          <w:ilvl w:val="0"/>
          <w:numId w:val="17"/>
        </w:numPr>
        <w:spacing w:after="200" w:line="276" w:lineRule="auto"/>
      </w:pPr>
      <w:r w:rsidRPr="00CF4107">
        <w:t>EMRA website was launched on 12.04.2018. Improvements continue according to the requests of the users.</w:t>
      </w:r>
    </w:p>
    <w:p w:rsidR="00FE7FEB" w:rsidRDefault="00FE7FEB" w:rsidP="00E37E90">
      <w:pPr>
        <w:pStyle w:val="ListeParagraf"/>
        <w:numPr>
          <w:ilvl w:val="0"/>
          <w:numId w:val="17"/>
        </w:numPr>
        <w:spacing w:after="200" w:line="276" w:lineRule="auto"/>
      </w:pPr>
      <w:r w:rsidRPr="00CF4107">
        <w:t xml:space="preserve">The EMRA website was opened for test publication on 23.05.2018. </w:t>
      </w:r>
      <w:r>
        <w:t>The w</w:t>
      </w:r>
      <w:r w:rsidRPr="00CF4107">
        <w:t>ork</w:t>
      </w:r>
      <w:r>
        <w:t>s</w:t>
      </w:r>
      <w:r w:rsidRPr="00CF4107">
        <w:t xml:space="preserve"> continue</w:t>
      </w:r>
      <w:r>
        <w:t>.</w:t>
      </w:r>
    </w:p>
    <w:p w:rsidR="00FE7FEB" w:rsidRDefault="00FE7FEB" w:rsidP="00FE7FEB">
      <w:pPr>
        <w:rPr>
          <w:color w:val="000000" w:themeColor="text1"/>
        </w:rPr>
      </w:pPr>
      <w:r w:rsidRPr="00EE4595">
        <w:rPr>
          <w:color w:val="000000" w:themeColor="text1"/>
        </w:rPr>
        <w:t xml:space="preserve">In our new webpage, gas stations </w:t>
      </w:r>
      <w:r>
        <w:rPr>
          <w:color w:val="000000" w:themeColor="text1"/>
        </w:rPr>
        <w:t>is</w:t>
      </w:r>
      <w:r w:rsidRPr="00EE4595">
        <w:rPr>
          <w:color w:val="000000" w:themeColor="text1"/>
        </w:rPr>
        <w:t xml:space="preserve"> provided with the opportunity to inquire fuel pump sales prices</w:t>
      </w:r>
      <w:r>
        <w:rPr>
          <w:color w:val="000000" w:themeColor="text1"/>
        </w:rPr>
        <w:t>.</w:t>
      </w:r>
    </w:p>
    <w:p w:rsidR="00FE7FEB" w:rsidRDefault="00FE7FEB" w:rsidP="00FE7FEB">
      <w:pPr>
        <w:spacing w:after="120" w:line="240" w:lineRule="auto"/>
        <w:jc w:val="both"/>
        <w:rPr>
          <w:color w:val="000000" w:themeColor="text1"/>
        </w:rPr>
      </w:pPr>
      <w:r>
        <w:rPr>
          <w:color w:val="000000" w:themeColor="text1"/>
        </w:rPr>
        <w:t xml:space="preserve">EMRA </w:t>
      </w:r>
      <w:r w:rsidRPr="00EE4595">
        <w:rPr>
          <w:color w:val="000000" w:themeColor="text1"/>
        </w:rPr>
        <w:t>WEB page will be provided with the opportunity to update each source's origin in order to provide updated data.</w:t>
      </w:r>
    </w:p>
    <w:p w:rsidR="00FE7FEB" w:rsidRPr="00CF4107" w:rsidRDefault="00FE7FEB" w:rsidP="00FE7FEB">
      <w:pPr>
        <w:spacing w:after="120" w:line="240" w:lineRule="auto"/>
        <w:jc w:val="both"/>
        <w:rPr>
          <w:color w:val="000000" w:themeColor="text1"/>
        </w:rPr>
      </w:pPr>
    </w:p>
    <w:p w:rsidR="00FE7FEB" w:rsidRPr="002E3538" w:rsidRDefault="00FE7FEB" w:rsidP="000B181C">
      <w:pPr>
        <w:pStyle w:val="Balk2"/>
      </w:pPr>
      <w:bookmarkStart w:id="267" w:name="_Toc514251675"/>
      <w:bookmarkStart w:id="268" w:name="_Toc12956355"/>
      <w:r w:rsidRPr="002E3538">
        <w:t>5.5.Energy Market Database Management System (EPVYS)</w:t>
      </w:r>
      <w:bookmarkEnd w:id="267"/>
      <w:bookmarkEnd w:id="268"/>
    </w:p>
    <w:p w:rsidR="00FE7FEB" w:rsidRPr="00EE4595" w:rsidRDefault="00FE7FEB" w:rsidP="00FE7FEB">
      <w:pPr>
        <w:spacing w:after="120" w:line="240" w:lineRule="auto"/>
        <w:jc w:val="both"/>
        <w:rPr>
          <w:color w:val="000000" w:themeColor="text1"/>
        </w:rPr>
      </w:pPr>
      <w:r w:rsidRPr="00EE4595">
        <w:rPr>
          <w:color w:val="000000" w:themeColor="text1"/>
        </w:rPr>
        <w:t>To fulfill the duties assigned to the institution by legislation; a computerized system has been established and commissioned in order to realize productivity and performance increase in a fast and secure electronic environment and to work with other institutions and organizations. In this context, developments and updates are made in line with the requirements related to License, Contact, Tariff, Litigation, Audit and Administrative Penalties related to companies operating in Electricity, Natural Gas, Petroleum and LPG markets. In this context, the studies carried out in 2017 are as follows;</w:t>
      </w:r>
    </w:p>
    <w:p w:rsidR="00FE7FEB" w:rsidRPr="00EE4595" w:rsidRDefault="00FE7FEB" w:rsidP="00E37E90">
      <w:pPr>
        <w:pStyle w:val="ListeParagraf"/>
        <w:numPr>
          <w:ilvl w:val="0"/>
          <w:numId w:val="16"/>
        </w:numPr>
        <w:spacing w:after="120" w:line="240" w:lineRule="auto"/>
        <w:jc w:val="both"/>
        <w:rPr>
          <w:color w:val="000000" w:themeColor="text1"/>
        </w:rPr>
      </w:pPr>
      <w:r w:rsidRPr="00EE4595">
        <w:rPr>
          <w:color w:val="000000" w:themeColor="text1"/>
        </w:rPr>
        <w:t>EPVYS software development was taken over from TUBITAK and software development procedures were done by the institution personnel.</w:t>
      </w:r>
    </w:p>
    <w:p w:rsidR="00FE7FEB" w:rsidRDefault="00FE7FEB" w:rsidP="00E37E90">
      <w:pPr>
        <w:pStyle w:val="ListeParagraf"/>
        <w:numPr>
          <w:ilvl w:val="0"/>
          <w:numId w:val="16"/>
        </w:numPr>
        <w:spacing w:after="200" w:line="276" w:lineRule="auto"/>
      </w:pPr>
      <w:r w:rsidRPr="002E3538">
        <w:t>YEKDEM Applications were received online.</w:t>
      </w:r>
    </w:p>
    <w:p w:rsidR="00FE7FEB" w:rsidRDefault="00FE7FEB" w:rsidP="00E37E90">
      <w:pPr>
        <w:pStyle w:val="ListeParagraf"/>
        <w:numPr>
          <w:ilvl w:val="0"/>
          <w:numId w:val="16"/>
        </w:numPr>
        <w:spacing w:after="200" w:line="276" w:lineRule="auto"/>
      </w:pPr>
      <w:r w:rsidRPr="00F00221">
        <w:t>LPG Market Autogas Dealership, Distributor, Storage, Transportation, LPG Cylinder Manufacturing, LPG Cylinder Inspection Repair and Maintenance licenses for New Application, Amendment, Term Extension, Termination and Surrogate applications have begun to be taken online.</w:t>
      </w:r>
    </w:p>
    <w:p w:rsidR="00FE7FEB" w:rsidRDefault="00FE7FEB" w:rsidP="00E37E90">
      <w:pPr>
        <w:pStyle w:val="ListeParagraf"/>
        <w:numPr>
          <w:ilvl w:val="0"/>
          <w:numId w:val="16"/>
        </w:numPr>
        <w:spacing w:after="200" w:line="276" w:lineRule="auto"/>
      </w:pPr>
      <w:r w:rsidRPr="00F00221">
        <w:t>New Applications, Amendments, Term Extension, Termination and Surrogation Applications of Oil Market Dealership and Lubricant Licenses have started to be received online. Distributor and Storage license online application procedures have been completed.</w:t>
      </w:r>
    </w:p>
    <w:p w:rsidR="00FE7FEB" w:rsidRDefault="00FE7FEB" w:rsidP="00E37E90">
      <w:pPr>
        <w:pStyle w:val="ListeParagraf"/>
        <w:numPr>
          <w:ilvl w:val="0"/>
          <w:numId w:val="16"/>
        </w:numPr>
        <w:spacing w:after="200" w:line="276" w:lineRule="auto"/>
      </w:pPr>
      <w:r w:rsidRPr="00F00221">
        <w:t>Natural Gas Market Construction and Service Certificate New Application, Amendment, Certificate Renewal and Visa Transactions required to be received online via electronic environment have been completed and necessary legislative changes are expected to be completed.</w:t>
      </w:r>
    </w:p>
    <w:p w:rsidR="00FE7FEB" w:rsidRDefault="00FE7FEB" w:rsidP="00E37E90">
      <w:pPr>
        <w:pStyle w:val="ListeParagraf"/>
        <w:numPr>
          <w:ilvl w:val="0"/>
          <w:numId w:val="16"/>
        </w:numPr>
        <w:spacing w:after="200" w:line="276" w:lineRule="auto"/>
      </w:pPr>
      <w:r w:rsidRPr="00F00221">
        <w:t>The necessary improvements have been completed and the necessary legislative changes are expected to be completed in order to obtain the New Application and modification procedures of CNG licenses online. It is planned to be put into operation after the legislation change.</w:t>
      </w:r>
    </w:p>
    <w:p w:rsidR="00FE7FEB" w:rsidRDefault="00FE7FEB" w:rsidP="00E37E90">
      <w:pPr>
        <w:pStyle w:val="ListeParagraf"/>
        <w:numPr>
          <w:ilvl w:val="0"/>
          <w:numId w:val="16"/>
        </w:numPr>
        <w:spacing w:after="200" w:line="276" w:lineRule="auto"/>
      </w:pPr>
      <w:r w:rsidRPr="00F00221">
        <w:t xml:space="preserve">Electricity Market </w:t>
      </w:r>
      <w:r w:rsidR="005F5E6A">
        <w:t>Pre-license</w:t>
      </w:r>
      <w:r w:rsidRPr="00F00221">
        <w:t xml:space="preserve"> and Generation Licenses have started to conduct detailed analysis studies in order to receive new License and Modification Applications online.</w:t>
      </w:r>
    </w:p>
    <w:p w:rsidR="00FE7FEB" w:rsidRDefault="00FE7FEB" w:rsidP="00E37E90">
      <w:pPr>
        <w:pStyle w:val="ListeParagraf"/>
        <w:numPr>
          <w:ilvl w:val="0"/>
          <w:numId w:val="16"/>
        </w:numPr>
        <w:spacing w:after="200" w:line="276" w:lineRule="auto"/>
      </w:pPr>
      <w:r w:rsidRPr="00DE67A3">
        <w:t>Audit Department Negotiation and other correspondence processes were transferred to the electronic environment via EPVYS.</w:t>
      </w:r>
    </w:p>
    <w:p w:rsidR="00FE7FEB" w:rsidRDefault="00FE7FEB" w:rsidP="00E37E90">
      <w:pPr>
        <w:pStyle w:val="ListeParagraf"/>
        <w:numPr>
          <w:ilvl w:val="0"/>
          <w:numId w:val="16"/>
        </w:numPr>
        <w:spacing w:after="200" w:line="276" w:lineRule="auto"/>
      </w:pPr>
      <w:r w:rsidRPr="00DE67A3">
        <w:t>Expropriation Department Negotiation and other correspondence processes were transferred to the electronic environment via EPVYS.</w:t>
      </w:r>
    </w:p>
    <w:p w:rsidR="00FE7FEB" w:rsidRPr="00EE4595" w:rsidRDefault="00FE7FEB" w:rsidP="00E37E90">
      <w:pPr>
        <w:pStyle w:val="ListeParagraf"/>
        <w:numPr>
          <w:ilvl w:val="0"/>
          <w:numId w:val="16"/>
        </w:numPr>
        <w:spacing w:after="120" w:line="240" w:lineRule="auto"/>
        <w:jc w:val="both"/>
        <w:rPr>
          <w:color w:val="000000" w:themeColor="text1"/>
        </w:rPr>
      </w:pPr>
      <w:r w:rsidRPr="00EE4595">
        <w:rPr>
          <w:color w:val="000000" w:themeColor="text1"/>
        </w:rPr>
        <w:t>LPG Market Coupon Permission Applications started online.</w:t>
      </w:r>
    </w:p>
    <w:p w:rsidR="00FE7FEB" w:rsidRPr="00DE67A3" w:rsidRDefault="00FE7FEB" w:rsidP="00E37E90">
      <w:pPr>
        <w:pStyle w:val="ListeParagraf"/>
        <w:numPr>
          <w:ilvl w:val="0"/>
          <w:numId w:val="16"/>
        </w:numPr>
        <w:spacing w:after="200" w:line="276" w:lineRule="auto"/>
      </w:pPr>
      <w:r w:rsidRPr="00EE4595">
        <w:rPr>
          <w:color w:val="000000" w:themeColor="text1"/>
        </w:rPr>
        <w:t>LPG AutoGas Vendorship License The system was made ready for the online amendment applications.</w:t>
      </w:r>
    </w:p>
    <w:p w:rsidR="00FE7FEB" w:rsidRPr="00EE4595" w:rsidRDefault="00FE7FEB" w:rsidP="00E37E90">
      <w:pPr>
        <w:pStyle w:val="ListeParagraf"/>
        <w:numPr>
          <w:ilvl w:val="0"/>
          <w:numId w:val="16"/>
        </w:numPr>
        <w:spacing w:after="120" w:line="240" w:lineRule="auto"/>
        <w:jc w:val="both"/>
        <w:rPr>
          <w:color w:val="000000" w:themeColor="text1"/>
        </w:rPr>
      </w:pPr>
      <w:r w:rsidRPr="00EE4595">
        <w:rPr>
          <w:color w:val="000000" w:themeColor="text1"/>
        </w:rPr>
        <w:t>Licenses and license modification applications were initiated to be taken online in order to speed up the transactions by taking the certificates, permits, YEKDEM and Expropriation transactions electronically, to simplify / reduce the documents required in the transactions and to not physically receive the documents that can be provided in the electronic environment.</w:t>
      </w:r>
    </w:p>
    <w:p w:rsidR="00FE7FEB" w:rsidRDefault="00FE7FEB" w:rsidP="00E37E90">
      <w:pPr>
        <w:pStyle w:val="ListeParagraf"/>
        <w:numPr>
          <w:ilvl w:val="0"/>
          <w:numId w:val="16"/>
        </w:numPr>
        <w:spacing w:after="200" w:line="276" w:lineRule="auto"/>
      </w:pPr>
      <w:r w:rsidRPr="00EE4595">
        <w:rPr>
          <w:color w:val="000000" w:themeColor="text1"/>
        </w:rPr>
        <w:t>Work has been done for the receival of application for recruitment through internet.</w:t>
      </w:r>
      <w:r w:rsidRPr="003C3B0A">
        <w:t xml:space="preserve"> 14th ter</w:t>
      </w:r>
      <w:r>
        <w:t xml:space="preserve">m </w:t>
      </w:r>
      <w:r>
        <w:rPr>
          <w:color w:val="000000" w:themeColor="text1"/>
        </w:rPr>
        <w:t>a</w:t>
      </w:r>
      <w:r w:rsidRPr="003C3B0A">
        <w:rPr>
          <w:color w:val="000000" w:themeColor="text1"/>
        </w:rPr>
        <w:t xml:space="preserve">ssistant </w:t>
      </w:r>
      <w:r>
        <w:rPr>
          <w:color w:val="000000" w:themeColor="text1"/>
        </w:rPr>
        <w:t>s</w:t>
      </w:r>
      <w:r w:rsidRPr="003C3B0A">
        <w:rPr>
          <w:color w:val="000000" w:themeColor="text1"/>
        </w:rPr>
        <w:t xml:space="preserve">pecialist </w:t>
      </w:r>
      <w:r>
        <w:rPr>
          <w:color w:val="000000" w:themeColor="text1"/>
        </w:rPr>
        <w:t>j</w:t>
      </w:r>
      <w:r w:rsidRPr="003C3B0A">
        <w:rPr>
          <w:color w:val="000000" w:themeColor="text1"/>
        </w:rPr>
        <w:t xml:space="preserve">ob </w:t>
      </w:r>
      <w:r>
        <w:rPr>
          <w:color w:val="000000" w:themeColor="text1"/>
        </w:rPr>
        <w:t>a</w:t>
      </w:r>
      <w:r w:rsidRPr="003C3B0A">
        <w:rPr>
          <w:color w:val="000000" w:themeColor="text1"/>
        </w:rPr>
        <w:t>pplication</w:t>
      </w:r>
      <w:r w:rsidRPr="003C3B0A">
        <w:t xml:space="preserve"> were received through the online job application module.</w:t>
      </w:r>
    </w:p>
    <w:p w:rsidR="00FE7FEB" w:rsidRDefault="00FE7FEB" w:rsidP="000B181C">
      <w:pPr>
        <w:pStyle w:val="Balk2"/>
      </w:pPr>
      <w:bookmarkStart w:id="269" w:name="_Toc514251676"/>
      <w:bookmarkStart w:id="270" w:name="_Toc12956356"/>
      <w:r w:rsidRPr="00970F86">
        <w:t>5.6.Data Sharing with other Institutions and Organiazations (Data Access and Sharing System(VEPS))</w:t>
      </w:r>
      <w:bookmarkEnd w:id="269"/>
      <w:bookmarkEnd w:id="270"/>
    </w:p>
    <w:p w:rsidR="00FE7FEB" w:rsidRDefault="00FE7FEB" w:rsidP="00FE7FEB">
      <w:r w:rsidRPr="002E3538">
        <w:t>Data Sharing Protocol was signed with the Ministry of Interior.</w:t>
      </w:r>
    </w:p>
    <w:p w:rsidR="00FE7FEB" w:rsidRDefault="00FE7FEB" w:rsidP="00FE7FEB">
      <w:r w:rsidRPr="002E3538">
        <w:t>Necessary updates have been made for the requests of data from the web service from other institutions and the communication of internal applications via web service.</w:t>
      </w:r>
    </w:p>
    <w:p w:rsidR="00FE7FEB" w:rsidRPr="00970F86" w:rsidRDefault="00FE7FEB" w:rsidP="00AF1093">
      <w:pPr>
        <w:pStyle w:val="Balk2"/>
      </w:pPr>
      <w:bookmarkStart w:id="271" w:name="_Toc514251677"/>
      <w:bookmarkStart w:id="272" w:name="_Toc12956357"/>
      <w:r w:rsidRPr="00970F86">
        <w:t>5.7.Electronic Notification System (EBİS)</w:t>
      </w:r>
      <w:bookmarkEnd w:id="271"/>
      <w:bookmarkEnd w:id="272"/>
    </w:p>
    <w:p w:rsidR="00FE7FEB" w:rsidRPr="00EE4595" w:rsidRDefault="00FE7FEB" w:rsidP="00FE7FEB">
      <w:pPr>
        <w:spacing w:after="120" w:line="240" w:lineRule="auto"/>
        <w:jc w:val="both"/>
        <w:rPr>
          <w:color w:val="000000" w:themeColor="text1"/>
        </w:rPr>
      </w:pPr>
      <w:r w:rsidRPr="00EE4595">
        <w:rPr>
          <w:color w:val="000000" w:themeColor="text1"/>
        </w:rPr>
        <w:t>Upon the adoption of the Energy Market Notification Regulation and the Guidelines for Using the Energy Market Notification System, the principles and procedures of the notifications to be made by the licensees have been combined under a single legislative framework.</w:t>
      </w:r>
    </w:p>
    <w:p w:rsidR="00FE7FEB" w:rsidRPr="00EE4595" w:rsidRDefault="00FE7FEB" w:rsidP="00FE7FEB">
      <w:pPr>
        <w:spacing w:after="120" w:line="240" w:lineRule="auto"/>
        <w:jc w:val="both"/>
        <w:rPr>
          <w:color w:val="000000" w:themeColor="text1"/>
        </w:rPr>
      </w:pPr>
      <w:r w:rsidRPr="00EE4595">
        <w:rPr>
          <w:color w:val="000000" w:themeColor="text1"/>
        </w:rPr>
        <w:t>The work on the unification of notification systems has also been completed. Thus, notifications from the Petroleum, Electricity, Natural Gas and LPG sectors started to be received through EBIS.</w:t>
      </w:r>
    </w:p>
    <w:p w:rsidR="00FE7FEB" w:rsidRPr="00EE4595" w:rsidRDefault="00FE7FEB" w:rsidP="00FE7FEB">
      <w:pPr>
        <w:spacing w:after="120" w:line="240" w:lineRule="auto"/>
        <w:jc w:val="both"/>
        <w:rPr>
          <w:color w:val="000000" w:themeColor="text1"/>
        </w:rPr>
      </w:pPr>
      <w:r w:rsidRPr="00EE4595">
        <w:rPr>
          <w:color w:val="000000" w:themeColor="text1"/>
        </w:rPr>
        <w:t>Technology upgrading studies are being carried out in order to make the notification system work faster and more efficiently. An update work plan has been developed to upgrade the used Java, Web Server (WildFly), Spring Framework, Hibernate versions. Within the scope of this plan, the updates were implemented step by step and the test process was carried out. The problems occurred during the testing process were eliminated and finally the technology upgrade work was successfully completed.</w:t>
      </w:r>
    </w:p>
    <w:p w:rsidR="00FE7FEB" w:rsidRDefault="00FE7FEB" w:rsidP="00FE7FEB">
      <w:pPr>
        <w:spacing w:after="120" w:line="240" w:lineRule="auto"/>
        <w:jc w:val="both"/>
        <w:rPr>
          <w:color w:val="000000" w:themeColor="text1"/>
        </w:rPr>
      </w:pPr>
      <w:r w:rsidRPr="00EE4595">
        <w:rPr>
          <w:color w:val="000000" w:themeColor="text1"/>
        </w:rPr>
        <w:t>The data received via the notification system are used to prepare the annual and monthly sector reports published by the Authority and the said reports are published on the website of the Authority.</w:t>
      </w:r>
    </w:p>
    <w:p w:rsidR="00FE7FEB" w:rsidRDefault="00FE7FEB" w:rsidP="00FE7FEB"/>
    <w:p w:rsidR="00FE7FEB" w:rsidRPr="00D97126" w:rsidRDefault="00FE7FEB" w:rsidP="00AF1093">
      <w:pPr>
        <w:pStyle w:val="Balk2"/>
      </w:pPr>
      <w:bookmarkStart w:id="273" w:name="_Toc442262794"/>
      <w:bookmarkStart w:id="274" w:name="_Toc514251678"/>
      <w:bookmarkStart w:id="275" w:name="_Toc12956358"/>
      <w:r w:rsidRPr="00D97126">
        <w:t>5.8.Institutional Resource Planning (KKP)</w:t>
      </w:r>
      <w:bookmarkEnd w:id="273"/>
      <w:bookmarkEnd w:id="274"/>
      <w:bookmarkEnd w:id="275"/>
      <w:r w:rsidRPr="00D97126">
        <w:t xml:space="preserve"> </w:t>
      </w:r>
    </w:p>
    <w:p w:rsidR="00FE7FEB" w:rsidRDefault="00FE7FEB" w:rsidP="00FE7FEB">
      <w:r w:rsidRPr="00EE4595">
        <w:rPr>
          <w:color w:val="000000" w:themeColor="text1"/>
        </w:rPr>
        <w:t>Within the scope of the project, it is ensured that all institutional resource operations and transactions (permit, salary, accrual, purchase, etc.) operate in electronic environment and integrated with each other. In this frame, the feedbacks coming from the module users in 201</w:t>
      </w:r>
      <w:r>
        <w:rPr>
          <w:color w:val="000000" w:themeColor="text1"/>
        </w:rPr>
        <w:t xml:space="preserve">8 </w:t>
      </w:r>
      <w:r w:rsidRPr="00EE4595">
        <w:rPr>
          <w:color w:val="000000" w:themeColor="text1"/>
        </w:rPr>
        <w:t>were evaluated as request, error, development, support-troubleshooting, development and maintenance studies continued in all modules of the project within the year.</w:t>
      </w:r>
      <w:r w:rsidRPr="00D97126">
        <w:t xml:space="preserve"> </w:t>
      </w:r>
      <w:r w:rsidRPr="00D97126">
        <w:rPr>
          <w:color w:val="000000" w:themeColor="text1"/>
        </w:rPr>
        <w:t>The summary of the studies is given in the table below.</w:t>
      </w:r>
    </w:p>
    <w:p w:rsidR="00FE7FEB" w:rsidRPr="00207061" w:rsidRDefault="00207061" w:rsidP="00207061">
      <w:pPr>
        <w:pStyle w:val="Balk5"/>
      </w:pPr>
      <w:bookmarkStart w:id="276" w:name="_Toc12958511"/>
      <w:r w:rsidRPr="00207061">
        <w:t xml:space="preserve">Table </w:t>
      </w:r>
      <w:r w:rsidR="00FE7FEB" w:rsidRPr="00207061">
        <w:t>5.1: Feedback from Project Users in 2018</w:t>
      </w:r>
      <w:bookmarkEnd w:id="276"/>
    </w:p>
    <w:tbl>
      <w:tblPr>
        <w:tblW w:w="3134" w:type="pct"/>
        <w:tblInd w:w="136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846"/>
        <w:gridCol w:w="985"/>
        <w:gridCol w:w="808"/>
        <w:gridCol w:w="1344"/>
      </w:tblGrid>
      <w:tr w:rsidR="00FE7FEB" w:rsidTr="00216EDE">
        <w:trPr>
          <w:trHeight w:val="340"/>
          <w:tblHeader/>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val="tr-TR" w:eastAsia="tr-TR"/>
              </w:rPr>
            </w:pPr>
            <w:r>
              <w:rPr>
                <w:rFonts w:ascii="Arial" w:eastAsia="Times New Roman" w:hAnsi="Arial" w:cs="Arial"/>
                <w:b/>
                <w:bCs/>
                <w:color w:val="FFFFFF"/>
                <w:sz w:val="20"/>
                <w:szCs w:val="20"/>
                <w:lang w:eastAsia="tr-TR"/>
              </w:rPr>
              <w:t>Feedbacks</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Open</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Close</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Total</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Error</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33</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492</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b/>
                <w:lang w:eastAsia="tr-TR"/>
              </w:rPr>
            </w:pPr>
            <w:r>
              <w:rPr>
                <w:rFonts w:ascii="Calibri" w:eastAsia="Times New Roman" w:hAnsi="Calibri"/>
                <w:b/>
                <w:lang w:eastAsia="tr-TR"/>
              </w:rPr>
              <w:t>525</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216EDE">
            <w:pPr>
              <w:spacing w:after="0" w:line="240" w:lineRule="auto"/>
              <w:rPr>
                <w:rFonts w:ascii="Calibri" w:eastAsia="Times New Roman" w:hAnsi="Calibri"/>
                <w:lang w:eastAsia="tr-TR"/>
              </w:rPr>
            </w:pPr>
            <w:r>
              <w:rPr>
                <w:rFonts w:ascii="Calibri" w:eastAsia="Times New Roman" w:hAnsi="Calibri"/>
                <w:lang w:eastAsia="tr-TR"/>
              </w:rPr>
              <w:t>Development</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110</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b/>
                <w:lang w:eastAsia="tr-TR"/>
              </w:rPr>
            </w:pPr>
            <w:r>
              <w:rPr>
                <w:rFonts w:ascii="Calibri" w:eastAsia="Times New Roman" w:hAnsi="Calibri"/>
                <w:b/>
                <w:lang w:eastAsia="tr-TR"/>
              </w:rPr>
              <w:t>111</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rPr>
                <w:rFonts w:ascii="Calibri" w:eastAsia="Times New Roman" w:hAnsi="Calibri"/>
                <w:lang w:eastAsia="tr-TR"/>
              </w:rPr>
            </w:pPr>
            <w:r>
              <w:rPr>
                <w:color w:val="000000" w:themeColor="text1"/>
              </w:rPr>
              <w:t>S</w:t>
            </w:r>
            <w:r w:rsidRPr="00EE4595">
              <w:rPr>
                <w:color w:val="000000" w:themeColor="text1"/>
              </w:rPr>
              <w:t>upport-</w:t>
            </w:r>
            <w:r>
              <w:rPr>
                <w:color w:val="000000" w:themeColor="text1"/>
              </w:rPr>
              <w:t>T</w:t>
            </w:r>
            <w:r w:rsidRPr="00EE4595">
              <w:rPr>
                <w:color w:val="000000" w:themeColor="text1"/>
              </w:rPr>
              <w:t>roubleshooting</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671</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b/>
                <w:lang w:eastAsia="tr-TR"/>
              </w:rPr>
            </w:pPr>
            <w:r>
              <w:rPr>
                <w:rFonts w:ascii="Calibri" w:eastAsia="Times New Roman" w:hAnsi="Calibri"/>
                <w:b/>
                <w:lang w:eastAsia="tr-TR"/>
              </w:rPr>
              <w:t>675</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Meeting</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10</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b/>
                <w:lang w:eastAsia="tr-TR"/>
              </w:rPr>
            </w:pPr>
            <w:r>
              <w:rPr>
                <w:rFonts w:ascii="Calibri" w:eastAsia="Times New Roman" w:hAnsi="Calibri"/>
                <w:b/>
                <w:lang w:eastAsia="tr-TR"/>
              </w:rPr>
              <w:t>10</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Application</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229</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b/>
                <w:lang w:eastAsia="tr-TR"/>
              </w:rPr>
            </w:pPr>
            <w:r>
              <w:rPr>
                <w:rFonts w:ascii="Calibri" w:eastAsia="Times New Roman" w:hAnsi="Calibri"/>
                <w:b/>
                <w:lang w:eastAsia="tr-TR"/>
              </w:rPr>
              <w:t>229</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Request</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7</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501</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b/>
                <w:lang w:eastAsia="tr-TR"/>
              </w:rPr>
            </w:pPr>
            <w:r>
              <w:rPr>
                <w:rFonts w:ascii="Calibri" w:eastAsia="Times New Roman" w:hAnsi="Calibri"/>
                <w:b/>
                <w:lang w:eastAsia="tr-TR"/>
              </w:rPr>
              <w:t>508</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Visit</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ascii="Calibri" w:eastAsia="Times New Roman" w:hAnsi="Calibri"/>
                <w:b/>
                <w:lang w:eastAsia="tr-TR"/>
              </w:rPr>
            </w:pPr>
            <w:r>
              <w:rPr>
                <w:rFonts w:ascii="Calibri" w:eastAsia="Times New Roman" w:hAnsi="Calibri"/>
                <w:b/>
                <w:lang w:eastAsia="tr-TR"/>
              </w:rPr>
              <w:t>-</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Analysis</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ascii="Calibri" w:eastAsia="Times New Roman" w:hAnsi="Calibri"/>
                <w:b/>
                <w:lang w:eastAsia="tr-TR"/>
              </w:rPr>
            </w:pPr>
            <w:r>
              <w:rPr>
                <w:rFonts w:ascii="Calibri" w:eastAsia="Times New Roman" w:hAnsi="Calibri"/>
                <w:b/>
                <w:lang w:eastAsia="tr-TR"/>
              </w:rPr>
              <w:t>4</w:t>
            </w:r>
          </w:p>
        </w:tc>
      </w:tr>
      <w:tr w:rsidR="00FE7FEB" w:rsidTr="00216EDE">
        <w:trPr>
          <w:trHeight w:val="340"/>
        </w:trPr>
        <w:tc>
          <w:tcPr>
            <w:tcW w:w="2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Marketing</w:t>
            </w:r>
          </w:p>
        </w:tc>
        <w:tc>
          <w:tcPr>
            <w:tcW w:w="8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c>
          <w:tcPr>
            <w:tcW w:w="112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ascii="Calibri" w:eastAsia="Times New Roman" w:hAnsi="Calibri"/>
                <w:b/>
                <w:lang w:eastAsia="tr-TR"/>
              </w:rPr>
            </w:pPr>
            <w:r>
              <w:rPr>
                <w:rFonts w:ascii="Calibri" w:eastAsia="Times New Roman" w:hAnsi="Calibri"/>
                <w:b/>
                <w:lang w:eastAsia="tr-TR"/>
              </w:rPr>
              <w:t>-</w:t>
            </w:r>
          </w:p>
        </w:tc>
      </w:tr>
    </w:tbl>
    <w:p w:rsidR="00FE7FEB" w:rsidRDefault="00FE7FEB" w:rsidP="00FE7FEB"/>
    <w:p w:rsidR="00FE7FEB" w:rsidRPr="007E421A" w:rsidRDefault="00AF1093" w:rsidP="00AF1093">
      <w:pPr>
        <w:pStyle w:val="Balk2"/>
      </w:pPr>
      <w:bookmarkStart w:id="277" w:name="_Toc514251679"/>
      <w:bookmarkStart w:id="278" w:name="_Toc12956359"/>
      <w:r>
        <w:t>5.9.</w:t>
      </w:r>
      <w:r w:rsidR="00FE7FEB" w:rsidRPr="007E421A">
        <w:t>Hardware and System Support Works</w:t>
      </w:r>
      <w:bookmarkEnd w:id="277"/>
      <w:bookmarkEnd w:id="278"/>
    </w:p>
    <w:p w:rsidR="00FE7FEB" w:rsidRDefault="00FE7FEB" w:rsidP="00FE7FEB">
      <w:pPr>
        <w:rPr>
          <w:color w:val="000000" w:themeColor="text1"/>
        </w:rPr>
      </w:pPr>
      <w:r w:rsidRPr="00EE4595">
        <w:t>Within the Disaster Recovery Scenario, a data hosting service agreement has been signed with TÜRKSAT and a copy of the server backups received has been stored in a remote environment.</w:t>
      </w:r>
      <w:r w:rsidRPr="007E421A">
        <w:rPr>
          <w:color w:val="000000" w:themeColor="text1"/>
        </w:rPr>
        <w:t xml:space="preserve"> </w:t>
      </w:r>
      <w:r>
        <w:rPr>
          <w:color w:val="000000" w:themeColor="text1"/>
        </w:rPr>
        <w:t>The s</w:t>
      </w:r>
      <w:r w:rsidRPr="007E421A">
        <w:rPr>
          <w:color w:val="000000" w:themeColor="text1"/>
        </w:rPr>
        <w:t xml:space="preserve">ervice </w:t>
      </w:r>
      <w:r>
        <w:rPr>
          <w:color w:val="000000" w:themeColor="text1"/>
        </w:rPr>
        <w:t xml:space="preserve">has been </w:t>
      </w:r>
      <w:r w:rsidRPr="007E421A">
        <w:rPr>
          <w:color w:val="000000" w:themeColor="text1"/>
        </w:rPr>
        <w:t>continued in 2018 as well.</w:t>
      </w:r>
    </w:p>
    <w:p w:rsidR="00FE7FEB" w:rsidRDefault="00FE7FEB" w:rsidP="00FE7FEB">
      <w:pPr>
        <w:rPr>
          <w:color w:val="000000" w:themeColor="text1"/>
        </w:rPr>
      </w:pPr>
      <w:r w:rsidRPr="00517636">
        <w:rPr>
          <w:color w:val="000000" w:themeColor="text1"/>
        </w:rPr>
        <w:t>Within the scope of the establishment of the IT infrastructure of the new service building, necessary planning has been completed and tender processes have been initiated in line with the specifications prepared for the establishment of a data center and the provision of active network devices</w:t>
      </w:r>
      <w:r>
        <w:rPr>
          <w:color w:val="000000" w:themeColor="text1"/>
        </w:rPr>
        <w:t>.</w:t>
      </w:r>
    </w:p>
    <w:p w:rsidR="00FE7FEB" w:rsidRDefault="00FE7FEB" w:rsidP="00FE7FEB">
      <w:pPr>
        <w:rPr>
          <w:color w:val="000000" w:themeColor="text1"/>
        </w:rPr>
      </w:pPr>
      <w:r w:rsidRPr="00517636">
        <w:rPr>
          <w:color w:val="000000" w:themeColor="text1"/>
        </w:rPr>
        <w:t>The Enterprise License Agreement for the server and end-user operating systems used in the IT infrastructure was extended until the end of 2020.</w:t>
      </w:r>
    </w:p>
    <w:p w:rsidR="00FE7FEB" w:rsidRDefault="00FE7FEB" w:rsidP="00FE7FEB">
      <w:pPr>
        <w:rPr>
          <w:color w:val="000000" w:themeColor="text1"/>
        </w:rPr>
      </w:pPr>
      <w:r w:rsidRPr="00517636">
        <w:rPr>
          <w:color w:val="000000" w:themeColor="text1"/>
        </w:rPr>
        <w:t>As a result of the tender, the service period was extended until the end of 2021 due to the expiration of the Internet access service contract.</w:t>
      </w:r>
    </w:p>
    <w:p w:rsidR="00FE7FEB" w:rsidRDefault="00FE7FEB" w:rsidP="00FE7FEB">
      <w:pPr>
        <w:rPr>
          <w:color w:val="000000" w:themeColor="text1"/>
        </w:rPr>
      </w:pPr>
      <w:r w:rsidRPr="00517636">
        <w:rPr>
          <w:color w:val="000000" w:themeColor="text1"/>
        </w:rPr>
        <w:t>The usage area of the network monitoring software, which has been provided for the purpose of more efficient monitoring of the company's active devices and network traffic and proactive measures in case of possible failures, has been expanded.</w:t>
      </w:r>
    </w:p>
    <w:p w:rsidR="00FE7FEB" w:rsidRPr="00EE4595" w:rsidRDefault="00FE7FEB" w:rsidP="00FE7FEB">
      <w:pPr>
        <w:spacing w:after="120" w:line="240" w:lineRule="auto"/>
      </w:pPr>
      <w:r w:rsidRPr="00EE4595">
        <w:t>Working in full compliance with existing security products to be used in Cyber ​​Security infrastructure, we have begun work on establishing a management system that will conspicuate the visibility of the corporate security situation, provide awareness, and receive manual or automated actions on existing security products in the event of a cyber attack.</w:t>
      </w:r>
    </w:p>
    <w:p w:rsidR="00FE7FEB" w:rsidRDefault="00FE7FEB" w:rsidP="00FE7FEB"/>
    <w:p w:rsidR="00FE7FEB" w:rsidRPr="00AF1093" w:rsidRDefault="00FE7FEB" w:rsidP="00AF1093">
      <w:pPr>
        <w:pStyle w:val="Balk1"/>
      </w:pPr>
      <w:bookmarkStart w:id="279" w:name="_Toc12956360"/>
      <w:r w:rsidRPr="00AF1093">
        <w:t>6.     AUDIT</w:t>
      </w:r>
      <w:bookmarkEnd w:id="279"/>
      <w:r w:rsidRPr="00AF1093">
        <w:tab/>
      </w:r>
    </w:p>
    <w:p w:rsidR="00FE7FEB" w:rsidRPr="00171959" w:rsidRDefault="00FE7FEB" w:rsidP="00FE7FEB">
      <w:pPr>
        <w:spacing w:after="120" w:line="240" w:lineRule="auto"/>
        <w:jc w:val="both"/>
      </w:pPr>
      <w:r w:rsidRPr="00171959">
        <w:t>The Authority is authorized to audit energy markets under Laws 4628, 4646, 5015, 5307 and 6446. In this context, it has been determined how to conduct inspections and investigations by means of four separate regulations on Electricity, Natural Gas, Petroleum and LPG markets, and the procedures and principles to be followed in preliminary investigations and investigations.</w:t>
      </w:r>
    </w:p>
    <w:p w:rsidR="00FE7FEB" w:rsidRPr="00171959" w:rsidRDefault="00FE7FEB" w:rsidP="00FE7FEB">
      <w:pPr>
        <w:spacing w:after="120" w:line="240" w:lineRule="auto"/>
        <w:jc w:val="both"/>
      </w:pPr>
      <w:r w:rsidRPr="00171959">
        <w:t>The Board may decide ex-officio or through the complaints or denunciations filed into the authority whether to directly conduct an investigation or a preliminary examination to search for the necessity of a direct investigation against the legal and real persons in breach of related legislation. In this respect, necessary amendments have been made after the Law on the Amendment of the Electricity Market Law and the Law on Electricity Market Law No: 6719 in the regulations regarding the execution of the inspection, preliminary examination and investigation activities to be carried out in Electricity, Natural Gas, Petroleum and LPG markets and the related regulations were published in Official Gazette dated 04/01/2017 and numbered 29938. With the amendments made, the Board has delegated the authority to open preliminary investigations and investigations to the Presidency or to the Department Head.</w:t>
      </w:r>
    </w:p>
    <w:p w:rsidR="00FE7FEB" w:rsidRPr="00171959" w:rsidRDefault="00FE7FEB" w:rsidP="00FE7FEB">
      <w:pPr>
        <w:spacing w:after="120" w:line="240" w:lineRule="auto"/>
        <w:jc w:val="both"/>
      </w:pPr>
      <w:r w:rsidRPr="00171959">
        <w:t>The Authority audits the market activities through its own staff or by through service procurement from public institutions and organizations and private audit institutions.</w:t>
      </w:r>
    </w:p>
    <w:p w:rsidR="00FE7FEB" w:rsidRPr="00171959" w:rsidRDefault="00FE7FEB" w:rsidP="00FE7FEB">
      <w:pPr>
        <w:spacing w:after="120" w:line="240" w:lineRule="auto"/>
        <w:jc w:val="both"/>
      </w:pPr>
      <w:r w:rsidRPr="00171959">
        <w:t>Audit work carried out by the relevant organizations on behalf of the Authority  under Petroleum Market and Liquefied Petroleum Gases (LPG) Market Cooperation Protocols on Inspections to be carried out continued intensely in 201</w:t>
      </w:r>
      <w:r>
        <w:t>8</w:t>
      </w:r>
      <w:r w:rsidRPr="00171959">
        <w:t xml:space="preserve"> as well.</w:t>
      </w:r>
    </w:p>
    <w:p w:rsidR="00FE7FEB" w:rsidRPr="0095301E" w:rsidRDefault="00FE7FEB" w:rsidP="00FE7FEB">
      <w:pPr>
        <w:rPr>
          <w:b/>
          <w:bCs/>
        </w:rPr>
      </w:pPr>
    </w:p>
    <w:p w:rsidR="00FE7FEB" w:rsidRPr="00AF1093" w:rsidRDefault="00FE7FEB" w:rsidP="00AF1093">
      <w:pPr>
        <w:pStyle w:val="Balk2"/>
      </w:pPr>
      <w:bookmarkStart w:id="280" w:name="_Toc442431302"/>
      <w:bookmarkStart w:id="281" w:name="_Toc505346108"/>
      <w:bookmarkStart w:id="282" w:name="_Toc514251686"/>
      <w:bookmarkStart w:id="283" w:name="_Toc12956361"/>
      <w:r w:rsidRPr="00AF1093">
        <w:t>6.1.Electricity Market Audit Activities</w:t>
      </w:r>
      <w:bookmarkEnd w:id="280"/>
      <w:bookmarkEnd w:id="281"/>
      <w:bookmarkEnd w:id="282"/>
      <w:bookmarkEnd w:id="283"/>
    </w:p>
    <w:p w:rsidR="00FE7FEB" w:rsidRPr="00171959" w:rsidRDefault="00FE7FEB" w:rsidP="00FE7FEB">
      <w:pPr>
        <w:spacing w:after="120" w:line="240" w:lineRule="auto"/>
        <w:jc w:val="both"/>
        <w:rPr>
          <w:color w:val="000000" w:themeColor="text1"/>
        </w:rPr>
      </w:pPr>
      <w:r w:rsidRPr="00171959">
        <w:rPr>
          <w:color w:val="000000" w:themeColor="text1"/>
        </w:rPr>
        <w:t>As a result of the inspections and investigations carried out in the Electricity Market, sanctions and penalties in accordance with Article 16 of the Law No. 6446 are applied.</w:t>
      </w:r>
    </w:p>
    <w:p w:rsidR="00FE7FEB" w:rsidRPr="0095301E" w:rsidRDefault="00FE7FEB" w:rsidP="00FE7FEB">
      <w:pPr>
        <w:spacing w:after="120" w:line="240" w:lineRule="auto"/>
        <w:jc w:val="both"/>
        <w:rPr>
          <w:color w:val="000000" w:themeColor="text1"/>
        </w:rPr>
      </w:pPr>
      <w:r w:rsidRPr="00171959">
        <w:rPr>
          <w:color w:val="000000" w:themeColor="text1"/>
        </w:rPr>
        <w:t>In 201</w:t>
      </w:r>
      <w:r>
        <w:rPr>
          <w:color w:val="000000" w:themeColor="text1"/>
        </w:rPr>
        <w:t>8</w:t>
      </w:r>
      <w:r w:rsidRPr="00171959">
        <w:rPr>
          <w:color w:val="000000" w:themeColor="text1"/>
        </w:rPr>
        <w:t xml:space="preserve">, </w:t>
      </w:r>
      <w:r>
        <w:rPr>
          <w:color w:val="000000" w:themeColor="text1"/>
        </w:rPr>
        <w:t>264</w:t>
      </w:r>
      <w:r w:rsidRPr="00171959">
        <w:rPr>
          <w:color w:val="000000" w:themeColor="text1"/>
        </w:rPr>
        <w:t xml:space="preserve"> new inquiries have been initiated about the companies that have been registered in the Electricity Market in violation of the legislation. Within the scope of ongoing investigations, </w:t>
      </w:r>
      <w:r>
        <w:rPr>
          <w:color w:val="000000" w:themeColor="text1"/>
        </w:rPr>
        <w:t>434</w:t>
      </w:r>
      <w:r w:rsidRPr="00171959">
        <w:rPr>
          <w:color w:val="000000" w:themeColor="text1"/>
        </w:rPr>
        <w:t xml:space="preserve"> sanctions were imposed in 201</w:t>
      </w:r>
      <w:r>
        <w:rPr>
          <w:color w:val="000000" w:themeColor="text1"/>
        </w:rPr>
        <w:t>8</w:t>
      </w:r>
      <w:r w:rsidRPr="00171959">
        <w:rPr>
          <w:color w:val="000000" w:themeColor="text1"/>
        </w:rPr>
        <w:t xml:space="preserve">; About </w:t>
      </w:r>
      <w:r>
        <w:rPr>
          <w:color w:val="000000" w:themeColor="text1"/>
        </w:rPr>
        <w:t>29</w:t>
      </w:r>
      <w:r w:rsidRPr="00171959">
        <w:rPr>
          <w:color w:val="000000" w:themeColor="text1"/>
        </w:rPr>
        <w:t xml:space="preserve"> license holders Total of </w:t>
      </w:r>
      <w:r>
        <w:rPr>
          <w:color w:val="000000" w:themeColor="text1"/>
        </w:rPr>
        <w:t>31.257.721</w:t>
      </w:r>
      <w:r w:rsidRPr="00171959">
        <w:rPr>
          <w:color w:val="000000" w:themeColor="text1"/>
        </w:rPr>
        <w:t xml:space="preserve"> TL, </w:t>
      </w:r>
      <w:r>
        <w:rPr>
          <w:color w:val="000000" w:themeColor="text1"/>
        </w:rPr>
        <w:t>59</w:t>
      </w:r>
      <w:r w:rsidRPr="00171959">
        <w:rPr>
          <w:color w:val="000000" w:themeColor="text1"/>
        </w:rPr>
        <w:t xml:space="preserve"> administrative fine sanctions were imposed. </w:t>
      </w:r>
      <w:r w:rsidRPr="0095301E">
        <w:rPr>
          <w:color w:val="000000" w:themeColor="text1"/>
        </w:rPr>
        <w:t>During the year, licenses of 2 licens</w:t>
      </w:r>
      <w:r>
        <w:rPr>
          <w:color w:val="000000" w:themeColor="text1"/>
        </w:rPr>
        <w:t>e holders</w:t>
      </w:r>
      <w:r w:rsidRPr="0095301E">
        <w:rPr>
          <w:color w:val="000000" w:themeColor="text1"/>
        </w:rPr>
        <w:t xml:space="preserve"> were revoked.</w:t>
      </w:r>
    </w:p>
    <w:p w:rsidR="00FE7FEB" w:rsidRPr="00171959" w:rsidRDefault="00FE7FEB" w:rsidP="00FE7FEB">
      <w:pPr>
        <w:spacing w:after="120" w:line="240" w:lineRule="auto"/>
        <w:jc w:val="both"/>
      </w:pPr>
    </w:p>
    <w:p w:rsidR="00FE7FEB" w:rsidRPr="00AF1093" w:rsidRDefault="00FE7FEB" w:rsidP="00AF1093">
      <w:pPr>
        <w:pStyle w:val="Balk2"/>
      </w:pPr>
      <w:bookmarkStart w:id="284" w:name="_Toc442431303"/>
      <w:bookmarkStart w:id="285" w:name="_Toc505346109"/>
      <w:bookmarkStart w:id="286" w:name="_Toc514251687"/>
      <w:bookmarkStart w:id="287" w:name="_Toc12956362"/>
      <w:r w:rsidRPr="00AF1093">
        <w:t>6.2.Natural Gas Market Investigation and Audit Activities</w:t>
      </w:r>
      <w:bookmarkEnd w:id="284"/>
      <w:bookmarkEnd w:id="285"/>
      <w:bookmarkEnd w:id="286"/>
      <w:bookmarkEnd w:id="287"/>
    </w:p>
    <w:p w:rsidR="00FE7FEB" w:rsidRPr="00AF1093" w:rsidRDefault="00AF1093" w:rsidP="00AF1093">
      <w:pPr>
        <w:pStyle w:val="Balk3"/>
      </w:pPr>
      <w:bookmarkStart w:id="288" w:name="_Toc12956363"/>
      <w:bookmarkStart w:id="289" w:name="_Toc442431304"/>
      <w:bookmarkStart w:id="290" w:name="_Toc505346110"/>
      <w:bookmarkStart w:id="291" w:name="_Toc514251688"/>
      <w:r w:rsidRPr="00AF1093">
        <w:t>6.2.1.</w:t>
      </w:r>
      <w:r w:rsidR="00FE7FEB" w:rsidRPr="00AF1093">
        <w:t>5 Year Investment Obligations of Natural Gas Distribution Companies</w:t>
      </w:r>
      <w:bookmarkEnd w:id="288"/>
      <w:r w:rsidR="00FE7FEB" w:rsidRPr="00AF1093">
        <w:t xml:space="preserve"> </w:t>
      </w:r>
      <w:bookmarkEnd w:id="289"/>
      <w:bookmarkEnd w:id="290"/>
      <w:bookmarkEnd w:id="291"/>
    </w:p>
    <w:p w:rsidR="00FE7FEB" w:rsidRPr="00171959" w:rsidRDefault="00FE7FEB" w:rsidP="00FE7FEB">
      <w:pPr>
        <w:spacing w:after="120" w:line="240" w:lineRule="auto"/>
        <w:jc w:val="both"/>
        <w:rPr>
          <w:color w:val="000000" w:themeColor="text1"/>
        </w:rPr>
      </w:pPr>
      <w:r w:rsidRPr="00171959">
        <w:rPr>
          <w:color w:val="000000" w:themeColor="text1"/>
        </w:rPr>
        <w:t>Under the "Natural Gas Distribution License Tender", which is made separately by the Authority for each Distribution Zone, all Distribution Companies that are entitled to receive the license have 5 (five) year investment obligations as per the Distribution License, TOR which is an insperatbale part of the license and the related legislation.</w:t>
      </w:r>
    </w:p>
    <w:p w:rsidR="00FE7FEB" w:rsidRPr="00171959" w:rsidRDefault="00FE7FEB" w:rsidP="00FE7FEB">
      <w:pPr>
        <w:spacing w:after="120" w:line="240" w:lineRule="auto"/>
        <w:jc w:val="both"/>
      </w:pPr>
      <w:r w:rsidRPr="00171959">
        <w:t xml:space="preserve">Board decision dated 29/01/2009 and numbered 1955 was adopted to determine whether the obligations of 5 (five) years' investment were fulfilled as per the fifth paragraph of the fourth section of Article 4 of the Natural Gas Market Law No 4646, Article 30 of the Natural Gas Market Distribution and Customer Service Regulation, and the relevant section of the "General Provisions" of the licenses of the Distribution Companies. Within the framework of the relevant Board Decisions, for the monitoring and examination of Natural Gas Distribution Companies' 5 year investment obligations on behalf of the Authority, Istanbul Applied Gas and Energy Technologies Research and Engineering Industry Trade CO.INC., (UGETAM) and S &amp; Q Mart Quality Security Industry and Trade CO.INC. (S &amp; Q MART) were authorized. </w:t>
      </w:r>
    </w:p>
    <w:p w:rsidR="00FE7FEB" w:rsidRPr="00171959" w:rsidRDefault="00FE7FEB" w:rsidP="00FE7FEB">
      <w:pPr>
        <w:autoSpaceDE w:val="0"/>
        <w:autoSpaceDN w:val="0"/>
        <w:adjustRightInd w:val="0"/>
        <w:spacing w:after="120" w:line="240" w:lineRule="auto"/>
        <w:jc w:val="both"/>
        <w:rPr>
          <w:rFonts w:cs="Calibri"/>
        </w:rPr>
      </w:pPr>
      <w:r w:rsidRPr="00171959">
        <w:rPr>
          <w:rFonts w:cs="Calibri"/>
        </w:rPr>
        <w:t xml:space="preserve">With the Board Decisions dated 05/07/2011 and numbered 3303-4 and dated 18/04/2012 and numbered 3783-2 within the scope of the Natural Gas Distribution Companies' 5-year investment obligations, the regulation on examining the investments which can not be done due to force majeure, besides within the scope of the Board Decision dated 08/01/2015 and numbered 5409-5 arrangement was made to determine the current status of investment deemed as force majeuré </w:t>
      </w:r>
      <w:r>
        <w:rPr>
          <w:rFonts w:cs="Calibri"/>
        </w:rPr>
        <w:t xml:space="preserve">in the 5-year </w:t>
      </w:r>
      <w:r w:rsidRPr="00171959">
        <w:rPr>
          <w:rFonts w:cs="Calibri"/>
        </w:rPr>
        <w:t xml:space="preserve">investment liability report. </w:t>
      </w:r>
    </w:p>
    <w:p w:rsidR="00FE7FEB" w:rsidRPr="00171959" w:rsidRDefault="00FE7FEB" w:rsidP="00FE7FEB">
      <w:pPr>
        <w:autoSpaceDE w:val="0"/>
        <w:autoSpaceDN w:val="0"/>
        <w:adjustRightInd w:val="0"/>
        <w:spacing w:after="120" w:line="240" w:lineRule="auto"/>
        <w:jc w:val="both"/>
        <w:rPr>
          <w:rFonts w:cs="Calibri"/>
        </w:rPr>
      </w:pPr>
      <w:r w:rsidRPr="00171959">
        <w:rPr>
          <w:rFonts w:cs="Calibri"/>
        </w:rPr>
        <w:t>Within the framework of the authorization for the scope and reporting determined for the works; In 201</w:t>
      </w:r>
      <w:r>
        <w:rPr>
          <w:rFonts w:cs="Calibri"/>
        </w:rPr>
        <w:t>8,</w:t>
      </w:r>
      <w:r w:rsidRPr="00171959">
        <w:rPr>
          <w:rFonts w:cs="Calibri"/>
        </w:rPr>
        <w:t xml:space="preserve"> S &amp; Q MART made on-site inspections in 2 Distribution Regions for 5 years investment liability and presented reports to the Authority. The reports are examined by the Commission established within the body of the Authority and the matters considered as non-compliant with the Commission are transferred to the Auditing Department as a result of the Commission's investigations.</w:t>
      </w:r>
    </w:p>
    <w:p w:rsidR="00FE7FEB" w:rsidRPr="00B53A52" w:rsidRDefault="00FE7FEB" w:rsidP="00FE7FEB">
      <w:pPr>
        <w:rPr>
          <w:b/>
          <w:bCs/>
        </w:rPr>
      </w:pPr>
    </w:p>
    <w:p w:rsidR="00FE7FEB" w:rsidRPr="00AF1093" w:rsidRDefault="00FE7FEB" w:rsidP="00AF1093">
      <w:pPr>
        <w:pStyle w:val="Balk3"/>
      </w:pPr>
      <w:bookmarkStart w:id="292" w:name="_Toc442431305"/>
      <w:bookmarkStart w:id="293" w:name="_Toc505346111"/>
      <w:bookmarkStart w:id="294" w:name="_Toc514251689"/>
      <w:bookmarkStart w:id="295" w:name="_Toc12956364"/>
      <w:r w:rsidRPr="00AF1093">
        <w:t>6.2.2. Natural Gas Market Audit Activities</w:t>
      </w:r>
      <w:bookmarkEnd w:id="292"/>
      <w:bookmarkEnd w:id="293"/>
      <w:bookmarkEnd w:id="294"/>
      <w:bookmarkEnd w:id="295"/>
    </w:p>
    <w:p w:rsidR="00FE7FEB" w:rsidRDefault="00FE7FEB" w:rsidP="00FE7FEB">
      <w:pPr>
        <w:spacing w:after="120" w:line="240" w:lineRule="auto"/>
        <w:jc w:val="both"/>
        <w:rPr>
          <w:color w:val="000000" w:themeColor="text1"/>
        </w:rPr>
      </w:pPr>
      <w:r w:rsidRPr="00171959">
        <w:rPr>
          <w:color w:val="000000" w:themeColor="text1"/>
        </w:rPr>
        <w:t>In Natural Gas Market; In 201</w:t>
      </w:r>
      <w:r>
        <w:rPr>
          <w:color w:val="000000" w:themeColor="text1"/>
        </w:rPr>
        <w:t>8</w:t>
      </w:r>
      <w:r w:rsidRPr="00171959">
        <w:rPr>
          <w:color w:val="000000" w:themeColor="text1"/>
        </w:rPr>
        <w:t xml:space="preserve">, an investigation was carried out on </w:t>
      </w:r>
      <w:r>
        <w:rPr>
          <w:color w:val="000000" w:themeColor="text1"/>
        </w:rPr>
        <w:t>81</w:t>
      </w:r>
      <w:r w:rsidRPr="00171959">
        <w:rPr>
          <w:color w:val="000000" w:themeColor="text1"/>
        </w:rPr>
        <w:t xml:space="preserve"> companies that have licenses and certificates (Construction Service, Internal Installation and Service Lines Certificate) which violate the legislation and </w:t>
      </w:r>
      <w:r>
        <w:rPr>
          <w:color w:val="000000" w:themeColor="text1"/>
        </w:rPr>
        <w:t>67</w:t>
      </w:r>
      <w:r w:rsidRPr="00171959">
        <w:rPr>
          <w:color w:val="000000" w:themeColor="text1"/>
        </w:rPr>
        <w:t xml:space="preserve"> admonitions and </w:t>
      </w:r>
      <w:r>
        <w:rPr>
          <w:color w:val="000000" w:themeColor="text1"/>
        </w:rPr>
        <w:t>two</w:t>
      </w:r>
      <w:r w:rsidRPr="00171959">
        <w:rPr>
          <w:color w:val="000000" w:themeColor="text1"/>
        </w:rPr>
        <w:t xml:space="preserve"> administrative fine amounting to </w:t>
      </w:r>
      <w:r>
        <w:rPr>
          <w:rFonts w:cs="Calibri"/>
        </w:rPr>
        <w:t xml:space="preserve">1.274.619 TL </w:t>
      </w:r>
      <w:r w:rsidRPr="00171959">
        <w:rPr>
          <w:color w:val="000000" w:themeColor="text1"/>
        </w:rPr>
        <w:t>were imposed</w:t>
      </w:r>
      <w:r>
        <w:rPr>
          <w:color w:val="000000" w:themeColor="text1"/>
        </w:rPr>
        <w:t>.</w:t>
      </w:r>
    </w:p>
    <w:p w:rsidR="00FE7FEB" w:rsidRPr="00B53A52" w:rsidRDefault="00FE7FEB" w:rsidP="00FE7FEB">
      <w:pPr>
        <w:spacing w:after="120" w:line="240" w:lineRule="auto"/>
        <w:jc w:val="both"/>
        <w:rPr>
          <w:color w:val="000000" w:themeColor="text1"/>
        </w:rPr>
      </w:pPr>
    </w:p>
    <w:p w:rsidR="00FE7FEB" w:rsidRPr="00AF1093" w:rsidRDefault="00AF1093" w:rsidP="00AF1093">
      <w:pPr>
        <w:pStyle w:val="Balk2"/>
      </w:pPr>
      <w:bookmarkStart w:id="296" w:name="_Toc442431306"/>
      <w:bookmarkStart w:id="297" w:name="_Toc505346112"/>
      <w:bookmarkStart w:id="298" w:name="_Toc514251690"/>
      <w:bookmarkStart w:id="299" w:name="_Toc12956365"/>
      <w:r w:rsidRPr="00AF1093">
        <w:t>6.3.</w:t>
      </w:r>
      <w:r w:rsidR="00FE7FEB" w:rsidRPr="00AF1093">
        <w:t>Petroleum Market Audit Activities</w:t>
      </w:r>
      <w:bookmarkEnd w:id="296"/>
      <w:bookmarkEnd w:id="297"/>
      <w:bookmarkEnd w:id="298"/>
      <w:bookmarkEnd w:id="299"/>
    </w:p>
    <w:p w:rsidR="00FE7FEB" w:rsidRPr="00171959" w:rsidRDefault="00FE7FEB" w:rsidP="00FE7FEB">
      <w:pPr>
        <w:spacing w:after="120" w:line="240" w:lineRule="auto"/>
        <w:jc w:val="both"/>
      </w:pPr>
      <w:r w:rsidRPr="00171959">
        <w:t>Petroleum Market audits are the activities done by examining the legal compliance of the activities of real or legal persons operating in the market with the provisions of the relevant legislation and investigation of compliance with the technical regulations of petroleum and lube oil supplied to the market by such persons, in cases of violations, irregularities and abuses, imposing required sanctions. Administrative fines and administrative sanctions are applied as a result of the examination and inspection activities carried out for Petroleum Market activities.</w:t>
      </w:r>
    </w:p>
    <w:p w:rsidR="00FE7FEB" w:rsidRPr="00171959" w:rsidRDefault="00FE7FEB" w:rsidP="00FE7FEB">
      <w:pPr>
        <w:spacing w:after="120" w:line="240" w:lineRule="auto"/>
        <w:jc w:val="both"/>
        <w:rPr>
          <w:color w:val="000000" w:themeColor="text1"/>
        </w:rPr>
      </w:pPr>
      <w:r w:rsidRPr="00171959">
        <w:rPr>
          <w:color w:val="000000" w:themeColor="text1"/>
        </w:rPr>
        <w:t>The inspections under the Cooperation Protocols on Inspection of Petroleum Market and Liquefied Petroleum Gases (LPG) Market are carried out under the coordination of the Agency. In this context, the market activities to be audited, the date of the audit and the regions where the audit will be carried out are determined by the Authority and planned by these institutions within the responsibility areas of the public institutions and organizations that are jointly planned or supervised with the relevant stakeholders within 1 (one) License holders are audited at least once a year, including the National Marker.</w:t>
      </w:r>
    </w:p>
    <w:p w:rsidR="00FE7FEB" w:rsidRPr="00171959" w:rsidRDefault="00FE7FEB" w:rsidP="00FE7FEB">
      <w:pPr>
        <w:spacing w:after="120" w:line="240" w:lineRule="auto"/>
        <w:jc w:val="both"/>
      </w:pPr>
      <w:r w:rsidRPr="00171959">
        <w:t>Both as a result of the determinations and in line with the complaints and denunciations audits have been continued by the institutions and organizations that are authorized to carry out inspections on behalf of the Authority.  Inspections were carried out at the Provincial Gendarmerie Commands and Provincial Police Departments under the supervision of the Ministry of Customs and Trade and the Prosecutor's Office for facilities where illegal fuel sales were carried out with hidden tanks and facilities other than the settlement plan and determinations were made for illegal fuel sales.</w:t>
      </w:r>
    </w:p>
    <w:p w:rsidR="00FE7FEB" w:rsidRPr="00171959" w:rsidRDefault="00FE7FEB" w:rsidP="00FE7FEB">
      <w:pPr>
        <w:spacing w:after="120" w:line="240" w:lineRule="auto"/>
        <w:jc w:val="both"/>
        <w:rPr>
          <w:color w:val="000000" w:themeColor="text1"/>
        </w:rPr>
      </w:pPr>
      <w:r w:rsidRPr="00171959">
        <w:rPr>
          <w:color w:val="000000" w:themeColor="text1"/>
        </w:rPr>
        <w:t>Transfers of funds made between the years 201</w:t>
      </w:r>
      <w:r>
        <w:rPr>
          <w:color w:val="000000" w:themeColor="text1"/>
        </w:rPr>
        <w:t>6</w:t>
      </w:r>
      <w:r w:rsidRPr="00171959">
        <w:rPr>
          <w:color w:val="000000" w:themeColor="text1"/>
        </w:rPr>
        <w:t xml:space="preserve"> and 201</w:t>
      </w:r>
      <w:r>
        <w:rPr>
          <w:color w:val="000000" w:themeColor="text1"/>
        </w:rPr>
        <w:t>8</w:t>
      </w:r>
      <w:r w:rsidRPr="00171959">
        <w:rPr>
          <w:color w:val="000000" w:themeColor="text1"/>
        </w:rPr>
        <w:t xml:space="preserve"> are shown in Table 6.1.</w:t>
      </w:r>
    </w:p>
    <w:p w:rsidR="00FE7FEB" w:rsidRDefault="00FE7FEB" w:rsidP="00FE7FEB"/>
    <w:p w:rsidR="00FE7FEB" w:rsidRPr="00216EDE" w:rsidRDefault="00FE7FEB" w:rsidP="00216EDE">
      <w:pPr>
        <w:pStyle w:val="Balk5"/>
      </w:pPr>
      <w:bookmarkStart w:id="300" w:name="_Toc12958512"/>
      <w:r w:rsidRPr="00216EDE">
        <w:rPr>
          <w:rStyle w:val="Gl"/>
          <w:b/>
          <w:bCs w:val="0"/>
        </w:rPr>
        <w:t>Table 6.1: Transfer of Funds to the signatories of the protocol for audits between 2016-2018</w:t>
      </w:r>
      <w:bookmarkEnd w:id="300"/>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303"/>
        <w:gridCol w:w="1565"/>
        <w:gridCol w:w="1565"/>
        <w:gridCol w:w="1232"/>
        <w:gridCol w:w="1617"/>
        <w:gridCol w:w="1264"/>
      </w:tblGrid>
      <w:tr w:rsidR="00FE7FEB" w:rsidTr="00D816E6">
        <w:trPr>
          <w:trHeight w:val="750"/>
        </w:trPr>
        <w:tc>
          <w:tcPr>
            <w:tcW w:w="1209"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rPr>
                <w:rFonts w:ascii="Calibri" w:eastAsia="Times New Roman" w:hAnsi="Calibri"/>
                <w:b/>
                <w:bCs/>
                <w:color w:val="FFFFFF"/>
                <w:lang w:val="tr-TR" w:eastAsia="tr-TR"/>
              </w:rPr>
            </w:pPr>
            <w:r w:rsidRPr="00171959">
              <w:rPr>
                <w:rFonts w:eastAsia="Times New Roman"/>
                <w:b/>
                <w:bCs/>
                <w:color w:val="FFFFFF" w:themeColor="background1"/>
                <w:lang w:eastAsia="tr-TR"/>
              </w:rPr>
              <w:t>Name of the institution</w:t>
            </w:r>
          </w:p>
        </w:tc>
        <w:tc>
          <w:tcPr>
            <w:tcW w:w="1644"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sidRPr="00171959">
              <w:rPr>
                <w:rFonts w:eastAsia="Times New Roman"/>
                <w:b/>
                <w:bCs/>
                <w:color w:val="FFFFFF" w:themeColor="background1"/>
                <w:lang w:eastAsia="tr-TR"/>
              </w:rPr>
              <w:t>Amount of transferred funds (TL)</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Change(%)</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sidRPr="00171959">
              <w:rPr>
                <w:rFonts w:eastAsia="Times New Roman"/>
                <w:b/>
                <w:bCs/>
                <w:color w:val="FFFFFF" w:themeColor="background1"/>
                <w:lang w:eastAsia="tr-TR"/>
              </w:rPr>
              <w:t>Amount of transferred funds (TL)</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Change(%)</w:t>
            </w:r>
          </w:p>
        </w:tc>
      </w:tr>
      <w:tr w:rsidR="00FE7FEB" w:rsidTr="00D816E6">
        <w:trPr>
          <w:trHeight w:val="33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lang w:eastAsia="tr-TR"/>
              </w:rPr>
            </w:pP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2016</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2017</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2016→2017</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2018</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2017→2018</w:t>
            </w:r>
          </w:p>
        </w:tc>
      </w:tr>
      <w:tr w:rsidR="00FE7FEB" w:rsidTr="00D816E6">
        <w:trPr>
          <w:trHeight w:val="330"/>
        </w:trPr>
        <w:tc>
          <w:tcPr>
            <w:tcW w:w="12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Calibri" w:eastAsia="Times New Roman" w:hAnsi="Calibri"/>
                <w:b/>
                <w:bCs/>
                <w:lang w:eastAsia="tr-TR"/>
              </w:rPr>
            </w:pPr>
            <w:r w:rsidRPr="00171959">
              <w:rPr>
                <w:rFonts w:eastAsia="Times New Roman"/>
                <w:b/>
                <w:bCs/>
                <w:lang w:eastAsia="tr-TR"/>
              </w:rPr>
              <w:t>General Command of Gendarmarie</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1.500.000</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2.400.000</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60,00</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1.500.000</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-37,50</w:t>
            </w:r>
          </w:p>
        </w:tc>
      </w:tr>
      <w:tr w:rsidR="00FE7FEB" w:rsidTr="00D816E6">
        <w:trPr>
          <w:trHeight w:val="330"/>
        </w:trPr>
        <w:tc>
          <w:tcPr>
            <w:tcW w:w="12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Calibri" w:eastAsia="Times New Roman" w:hAnsi="Calibri"/>
                <w:b/>
                <w:bCs/>
                <w:lang w:eastAsia="tr-TR"/>
              </w:rPr>
            </w:pPr>
            <w:r w:rsidRPr="00171959">
              <w:rPr>
                <w:rFonts w:eastAsia="Times New Roman"/>
                <w:b/>
                <w:bCs/>
                <w:lang w:eastAsia="tr-TR"/>
              </w:rPr>
              <w:t>Security General Directorate</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2.500.000</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2.500.000</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0,00</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1.250.000</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-50,00</w:t>
            </w:r>
          </w:p>
        </w:tc>
      </w:tr>
      <w:tr w:rsidR="00FE7FEB" w:rsidTr="00D816E6">
        <w:trPr>
          <w:trHeight w:val="330"/>
        </w:trPr>
        <w:tc>
          <w:tcPr>
            <w:tcW w:w="12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Calibri" w:eastAsia="Times New Roman" w:hAnsi="Calibri"/>
                <w:b/>
                <w:bCs/>
                <w:lang w:eastAsia="tr-TR"/>
              </w:rPr>
            </w:pPr>
            <w:r w:rsidRPr="00171959">
              <w:rPr>
                <w:rFonts w:eastAsia="Times New Roman"/>
                <w:b/>
                <w:bCs/>
                <w:lang w:eastAsia="tr-TR"/>
              </w:rPr>
              <w:t>Coast Guard</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8.800.000</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9.000.000</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2,27</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3.500.000</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-61,11</w:t>
            </w:r>
          </w:p>
        </w:tc>
      </w:tr>
      <w:tr w:rsidR="00FE7FEB" w:rsidTr="00D816E6">
        <w:trPr>
          <w:trHeight w:val="330"/>
        </w:trPr>
        <w:tc>
          <w:tcPr>
            <w:tcW w:w="12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Calibri" w:eastAsia="Times New Roman" w:hAnsi="Calibri"/>
                <w:b/>
                <w:bCs/>
                <w:lang w:eastAsia="tr-TR"/>
              </w:rPr>
            </w:pPr>
            <w:r w:rsidRPr="00171959">
              <w:rPr>
                <w:rFonts w:eastAsia="Times New Roman"/>
                <w:b/>
                <w:bCs/>
                <w:lang w:eastAsia="tr-TR"/>
              </w:rPr>
              <w:t>Ministry of Industry and Technology</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12.000.000</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14.000.000</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16,67</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4.000.000</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-71,43</w:t>
            </w:r>
          </w:p>
        </w:tc>
      </w:tr>
      <w:tr w:rsidR="00FE7FEB" w:rsidTr="00D816E6">
        <w:trPr>
          <w:trHeight w:val="330"/>
        </w:trPr>
        <w:tc>
          <w:tcPr>
            <w:tcW w:w="12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Calibri" w:eastAsia="Times New Roman" w:hAnsi="Calibri"/>
                <w:b/>
                <w:bCs/>
                <w:lang w:eastAsia="tr-TR"/>
              </w:rPr>
            </w:pPr>
            <w:r w:rsidRPr="00171959">
              <w:rPr>
                <w:rFonts w:eastAsia="Times New Roman"/>
                <w:b/>
                <w:bCs/>
                <w:lang w:eastAsia="tr-TR"/>
              </w:rPr>
              <w:t xml:space="preserve">Ministry of </w:t>
            </w:r>
            <w:r>
              <w:rPr>
                <w:rFonts w:eastAsia="Times New Roman"/>
                <w:b/>
                <w:bCs/>
                <w:lang w:eastAsia="tr-TR"/>
              </w:rPr>
              <w:t>Trade</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4.000.000</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4.000.000</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0,00</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2.000.000</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-50,00</w:t>
            </w:r>
          </w:p>
        </w:tc>
      </w:tr>
      <w:tr w:rsidR="00FE7FEB" w:rsidTr="00D816E6">
        <w:trPr>
          <w:trHeight w:val="330"/>
        </w:trPr>
        <w:tc>
          <w:tcPr>
            <w:tcW w:w="12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lang w:eastAsia="tr-TR"/>
              </w:rPr>
              <w:t xml:space="preserve"> TÜBİTAK </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27.000.000</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33.000.000</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22,22</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34.500.000</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4,55</w:t>
            </w:r>
          </w:p>
        </w:tc>
      </w:tr>
      <w:tr w:rsidR="00FE7FEB" w:rsidTr="00D816E6">
        <w:trPr>
          <w:trHeight w:val="330"/>
        </w:trPr>
        <w:tc>
          <w:tcPr>
            <w:tcW w:w="12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lang w:eastAsia="tr-TR"/>
              </w:rPr>
              <w:t xml:space="preserve"> TOTAL</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55.800.000</w:t>
            </w:r>
          </w:p>
        </w:tc>
        <w:tc>
          <w:tcPr>
            <w:tcW w:w="8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64.900.000</w:t>
            </w:r>
          </w:p>
        </w:tc>
        <w:tc>
          <w:tcPr>
            <w:tcW w:w="63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lang w:eastAsia="tr-TR"/>
              </w:rPr>
            </w:pPr>
            <w:r>
              <w:rPr>
                <w:rFonts w:ascii="Calibri" w:eastAsia="Times New Roman" w:hAnsi="Calibri"/>
                <w:b/>
                <w:lang w:eastAsia="tr-TR"/>
              </w:rPr>
              <w:t>16,31</w:t>
            </w:r>
          </w:p>
        </w:tc>
        <w:tc>
          <w:tcPr>
            <w:tcW w:w="84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46.750.000</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lang w:eastAsia="tr-TR"/>
              </w:rPr>
            </w:pPr>
            <w:r>
              <w:rPr>
                <w:rFonts w:ascii="Calibri" w:eastAsia="Times New Roman" w:hAnsi="Calibri"/>
                <w:b/>
                <w:lang w:eastAsia="tr-TR"/>
              </w:rPr>
              <w:t>-27,97</w:t>
            </w:r>
          </w:p>
        </w:tc>
      </w:tr>
    </w:tbl>
    <w:p w:rsidR="00FE7FEB" w:rsidRDefault="00FE7FEB" w:rsidP="00FE7FEB"/>
    <w:p w:rsidR="00FE7FEB" w:rsidRPr="00822B0A" w:rsidRDefault="00FE7FEB" w:rsidP="00FE7FEB">
      <w:pPr>
        <w:spacing w:after="120" w:line="240" w:lineRule="auto"/>
        <w:jc w:val="both"/>
      </w:pPr>
      <w:r w:rsidRPr="00822B0A">
        <w:t>Also, license holders have been examined whether they are operating in compliance with Law No. 5015 and related legislation.</w:t>
      </w:r>
    </w:p>
    <w:p w:rsidR="00FE7FEB" w:rsidRPr="00822B0A" w:rsidRDefault="00FE7FEB" w:rsidP="00FE7FEB">
      <w:pPr>
        <w:spacing w:after="120" w:line="240" w:lineRule="auto"/>
        <w:jc w:val="both"/>
      </w:pPr>
      <w:r w:rsidRPr="00822B0A">
        <w:t>Within the scope of the petrol</w:t>
      </w:r>
      <w:r>
        <w:t>e</w:t>
      </w:r>
      <w:r w:rsidRPr="00822B0A">
        <w:t xml:space="preserve">um market audits, for the purpose of determining whether the liquid fuel suplied to the amrket by licensees contain adequate amount of national marker, with the participation of the satff of Security General Directorate, Ministry for Science, Industry and Technology, Ministry of Customs and Trade, General Command of Gendarmarie and Coast Guard audits weremade and the invalidated samples were transferred to TÜBİTAK, EGE-PAL, METU PAM, İNÖNÜ-PAL and KTÜ-YUAM. As a result of such inspections, legal actions have been taken against facilities which are determined to have non-standard or illegal liquid fuel and which are found to be incompatible with the technical regulations and / or the National Marker measurement result was invalid. </w:t>
      </w:r>
    </w:p>
    <w:p w:rsidR="00FE7FEB" w:rsidRDefault="00FE7FEB" w:rsidP="00FE7FEB"/>
    <w:p w:rsidR="00FE7FEB" w:rsidRPr="00216EDE" w:rsidRDefault="00FE7FEB" w:rsidP="00216EDE">
      <w:pPr>
        <w:pStyle w:val="Balk5"/>
      </w:pPr>
      <w:bookmarkStart w:id="301" w:name="_Toc12958513"/>
      <w:r w:rsidRPr="00216EDE">
        <w:rPr>
          <w:rStyle w:val="Gl"/>
          <w:b/>
          <w:bCs w:val="0"/>
        </w:rPr>
        <w:t>Table 6.2: Benchmarking Resut Analysis of national Marker Field Equipment (XP)for years 2016-2018</w:t>
      </w:r>
      <w:bookmarkEnd w:id="301"/>
    </w:p>
    <w:tbl>
      <w:tblPr>
        <w:tblW w:w="4797"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505"/>
        <w:gridCol w:w="757"/>
        <w:gridCol w:w="958"/>
        <w:gridCol w:w="988"/>
        <w:gridCol w:w="958"/>
        <w:gridCol w:w="1232"/>
        <w:gridCol w:w="868"/>
        <w:gridCol w:w="660"/>
        <w:gridCol w:w="1232"/>
      </w:tblGrid>
      <w:tr w:rsidR="00FE7FEB" w:rsidRPr="00822B0A" w:rsidTr="00D816E6">
        <w:trPr>
          <w:trHeight w:val="490"/>
          <w:jc w:val="center"/>
        </w:trPr>
        <w:tc>
          <w:tcPr>
            <w:tcW w:w="889" w:type="pct"/>
            <w:vMerge w:val="restar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Measurement no.</w:t>
            </w:r>
          </w:p>
        </w:tc>
        <w:tc>
          <w:tcPr>
            <w:tcW w:w="803" w:type="pct"/>
            <w:gridSpan w:val="2"/>
            <w:shd w:val="clear" w:color="auto" w:fill="6E9ECA"/>
            <w:noWrap/>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201</w:t>
            </w:r>
            <w:r>
              <w:rPr>
                <w:rFonts w:eastAsia="Times New Roman"/>
                <w:b/>
                <w:bCs/>
                <w:color w:val="FFFFFF" w:themeColor="background1"/>
                <w:lang w:eastAsia="tr-TR"/>
              </w:rPr>
              <w:t>6</w:t>
            </w:r>
          </w:p>
        </w:tc>
        <w:tc>
          <w:tcPr>
            <w:tcW w:w="1136" w:type="pct"/>
            <w:gridSpan w:val="2"/>
            <w:shd w:val="clear" w:color="auto" w:fill="6E9ECA"/>
            <w:noWrap/>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201</w:t>
            </w:r>
            <w:r>
              <w:rPr>
                <w:rFonts w:eastAsia="Times New Roman"/>
                <w:b/>
                <w:bCs/>
                <w:color w:val="FFFFFF" w:themeColor="background1"/>
                <w:lang w:eastAsia="tr-TR"/>
              </w:rPr>
              <w:t>7</w:t>
            </w:r>
            <w:r w:rsidRPr="00822B0A">
              <w:rPr>
                <w:rFonts w:eastAsia="Times New Roman"/>
                <w:b/>
                <w:bCs/>
                <w:color w:val="FFFFFF" w:themeColor="background1"/>
                <w:lang w:eastAsia="tr-TR"/>
              </w:rPr>
              <w:t xml:space="preserve"> </w:t>
            </w:r>
          </w:p>
        </w:tc>
        <w:tc>
          <w:tcPr>
            <w:tcW w:w="630"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Change (%)</w:t>
            </w:r>
          </w:p>
        </w:tc>
        <w:tc>
          <w:tcPr>
            <w:tcW w:w="911" w:type="pct"/>
            <w:gridSpan w:val="2"/>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201</w:t>
            </w:r>
            <w:r>
              <w:rPr>
                <w:rFonts w:eastAsia="Times New Roman"/>
                <w:b/>
                <w:bCs/>
                <w:color w:val="FFFFFF" w:themeColor="background1"/>
                <w:lang w:eastAsia="tr-TR"/>
              </w:rPr>
              <w:t>8</w:t>
            </w:r>
            <w:r w:rsidRPr="00822B0A">
              <w:rPr>
                <w:rFonts w:eastAsia="Times New Roman"/>
                <w:b/>
                <w:bCs/>
                <w:color w:val="FFFFFF" w:themeColor="background1"/>
                <w:lang w:eastAsia="tr-TR"/>
              </w:rPr>
              <w:t xml:space="preserve"> </w:t>
            </w:r>
          </w:p>
        </w:tc>
        <w:tc>
          <w:tcPr>
            <w:tcW w:w="630"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Change (%)</w:t>
            </w:r>
          </w:p>
        </w:tc>
      </w:tr>
      <w:tr w:rsidR="00FE7FEB" w:rsidRPr="00822B0A" w:rsidTr="00D816E6">
        <w:trPr>
          <w:trHeight w:val="490"/>
          <w:jc w:val="center"/>
        </w:trPr>
        <w:tc>
          <w:tcPr>
            <w:tcW w:w="889" w:type="pct"/>
            <w:vMerge/>
            <w:shd w:val="clear" w:color="auto" w:fill="6E9ECA"/>
            <w:vAlign w:val="center"/>
            <w:hideMark/>
          </w:tcPr>
          <w:p w:rsidR="00FE7FEB" w:rsidRPr="00822B0A" w:rsidRDefault="00FE7FEB" w:rsidP="00D816E6">
            <w:pPr>
              <w:spacing w:after="0" w:line="240" w:lineRule="auto"/>
              <w:rPr>
                <w:rFonts w:eastAsia="Times New Roman"/>
                <w:b/>
                <w:bCs/>
                <w:color w:val="FFFFFF" w:themeColor="background1"/>
                <w:lang w:eastAsia="tr-TR"/>
              </w:rPr>
            </w:pPr>
          </w:p>
        </w:tc>
        <w:tc>
          <w:tcPr>
            <w:tcW w:w="444"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No</w:t>
            </w:r>
          </w:p>
        </w:tc>
        <w:tc>
          <w:tcPr>
            <w:tcW w:w="359"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Share</w:t>
            </w:r>
            <w:r w:rsidRPr="00822B0A">
              <w:rPr>
                <w:rFonts w:eastAsia="Times New Roman"/>
                <w:b/>
                <w:bCs/>
                <w:color w:val="FFFFFF" w:themeColor="background1"/>
                <w:lang w:eastAsia="tr-TR"/>
              </w:rPr>
              <w:t>(%)</w:t>
            </w:r>
          </w:p>
        </w:tc>
        <w:tc>
          <w:tcPr>
            <w:tcW w:w="775"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No</w:t>
            </w:r>
          </w:p>
        </w:tc>
        <w:tc>
          <w:tcPr>
            <w:tcW w:w="360"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Share</w:t>
            </w:r>
            <w:r w:rsidRPr="00822B0A">
              <w:rPr>
                <w:rFonts w:eastAsia="Times New Roman"/>
                <w:b/>
                <w:bCs/>
                <w:color w:val="FFFFFF" w:themeColor="background1"/>
                <w:lang w:eastAsia="tr-TR"/>
              </w:rPr>
              <w:t>(%)</w:t>
            </w:r>
          </w:p>
        </w:tc>
        <w:tc>
          <w:tcPr>
            <w:tcW w:w="630"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201</w:t>
            </w:r>
            <w:r>
              <w:rPr>
                <w:rFonts w:eastAsia="Times New Roman"/>
                <w:b/>
                <w:bCs/>
                <w:color w:val="FFFFFF" w:themeColor="background1"/>
                <w:lang w:eastAsia="tr-TR"/>
              </w:rPr>
              <w:t>6</w:t>
            </w:r>
            <w:r w:rsidRPr="00822B0A">
              <w:rPr>
                <w:rFonts w:eastAsia="Times New Roman"/>
                <w:b/>
                <w:bCs/>
                <w:color w:val="FFFFFF" w:themeColor="background1"/>
                <w:lang w:eastAsia="tr-TR"/>
              </w:rPr>
              <w:t>→201</w:t>
            </w:r>
            <w:r>
              <w:rPr>
                <w:rFonts w:eastAsia="Times New Roman"/>
                <w:b/>
                <w:bCs/>
                <w:color w:val="FFFFFF" w:themeColor="background1"/>
                <w:lang w:eastAsia="tr-TR"/>
              </w:rPr>
              <w:t>7</w:t>
            </w:r>
          </w:p>
        </w:tc>
        <w:tc>
          <w:tcPr>
            <w:tcW w:w="583"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No</w:t>
            </w:r>
          </w:p>
        </w:tc>
        <w:tc>
          <w:tcPr>
            <w:tcW w:w="328"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Share</w:t>
            </w:r>
            <w:r w:rsidRPr="00822B0A">
              <w:rPr>
                <w:rFonts w:eastAsia="Times New Roman"/>
                <w:b/>
                <w:bCs/>
                <w:color w:val="FFFFFF" w:themeColor="background1"/>
                <w:lang w:eastAsia="tr-TR"/>
              </w:rPr>
              <w:t xml:space="preserve"> (%)</w:t>
            </w:r>
          </w:p>
        </w:tc>
        <w:tc>
          <w:tcPr>
            <w:tcW w:w="630" w:type="pct"/>
            <w:shd w:val="clear" w:color="auto" w:fill="6E9ECA"/>
            <w:vAlign w:val="center"/>
            <w:hideMark/>
          </w:tcPr>
          <w:p w:rsidR="00FE7FEB" w:rsidRPr="00822B0A"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201</w:t>
            </w:r>
            <w:r>
              <w:rPr>
                <w:rFonts w:eastAsia="Times New Roman"/>
                <w:b/>
                <w:bCs/>
                <w:color w:val="FFFFFF" w:themeColor="background1"/>
                <w:lang w:eastAsia="tr-TR"/>
              </w:rPr>
              <w:t>7</w:t>
            </w:r>
            <w:r w:rsidRPr="00822B0A">
              <w:rPr>
                <w:rFonts w:eastAsia="Times New Roman"/>
                <w:b/>
                <w:bCs/>
                <w:color w:val="FFFFFF" w:themeColor="background1"/>
                <w:lang w:eastAsia="tr-TR"/>
              </w:rPr>
              <w:t>→201</w:t>
            </w:r>
            <w:r>
              <w:rPr>
                <w:rFonts w:eastAsia="Times New Roman"/>
                <w:b/>
                <w:bCs/>
                <w:color w:val="FFFFFF" w:themeColor="background1"/>
                <w:lang w:eastAsia="tr-TR"/>
              </w:rPr>
              <w:t>8</w:t>
            </w:r>
          </w:p>
        </w:tc>
      </w:tr>
      <w:tr w:rsidR="00FE7FEB" w:rsidRPr="00822B0A" w:rsidTr="00D816E6">
        <w:trPr>
          <w:trHeight w:val="737"/>
          <w:jc w:val="center"/>
        </w:trPr>
        <w:tc>
          <w:tcPr>
            <w:tcW w:w="889" w:type="pct"/>
            <w:shd w:val="clear" w:color="auto" w:fill="auto"/>
            <w:vAlign w:val="center"/>
            <w:hideMark/>
          </w:tcPr>
          <w:p w:rsidR="00FE7FEB" w:rsidRPr="00822B0A" w:rsidRDefault="00FE7FEB" w:rsidP="00D816E6">
            <w:pPr>
              <w:spacing w:after="0" w:line="240" w:lineRule="auto"/>
              <w:rPr>
                <w:rFonts w:eastAsia="Times New Roman"/>
                <w:b/>
                <w:bCs/>
                <w:lang w:eastAsia="tr-TR"/>
              </w:rPr>
            </w:pPr>
            <w:r w:rsidRPr="00822B0A">
              <w:rPr>
                <w:rFonts w:eastAsia="Times New Roman"/>
                <w:b/>
                <w:bCs/>
                <w:lang w:eastAsia="tr-TR"/>
              </w:rPr>
              <w:t>No of valid measurements</w:t>
            </w:r>
          </w:p>
        </w:tc>
        <w:tc>
          <w:tcPr>
            <w:tcW w:w="444"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90.284</w:t>
            </w:r>
          </w:p>
        </w:tc>
        <w:tc>
          <w:tcPr>
            <w:tcW w:w="359"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sidRPr="00822B0A">
              <w:rPr>
                <w:rFonts w:eastAsia="Times New Roman"/>
                <w:lang w:eastAsia="tr-TR"/>
              </w:rPr>
              <w:t>9</w:t>
            </w:r>
            <w:r>
              <w:rPr>
                <w:rFonts w:eastAsia="Times New Roman"/>
                <w:lang w:eastAsia="tr-TR"/>
              </w:rPr>
              <w:t>7</w:t>
            </w:r>
          </w:p>
        </w:tc>
        <w:tc>
          <w:tcPr>
            <w:tcW w:w="775"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88.395</w:t>
            </w:r>
          </w:p>
        </w:tc>
        <w:tc>
          <w:tcPr>
            <w:tcW w:w="360" w:type="pct"/>
            <w:shd w:val="clear" w:color="auto" w:fill="auto"/>
            <w:noWrap/>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95,13</w:t>
            </w:r>
          </w:p>
        </w:tc>
        <w:tc>
          <w:tcPr>
            <w:tcW w:w="630" w:type="pct"/>
            <w:shd w:val="clear" w:color="auto" w:fill="auto"/>
            <w:noWrap/>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2,13</w:t>
            </w:r>
          </w:p>
        </w:tc>
        <w:tc>
          <w:tcPr>
            <w:tcW w:w="583"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99.315</w:t>
            </w:r>
          </w:p>
        </w:tc>
        <w:tc>
          <w:tcPr>
            <w:tcW w:w="328"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98,05</w:t>
            </w:r>
          </w:p>
        </w:tc>
        <w:tc>
          <w:tcPr>
            <w:tcW w:w="630"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12,35</w:t>
            </w:r>
          </w:p>
        </w:tc>
      </w:tr>
      <w:tr w:rsidR="00FE7FEB" w:rsidRPr="00822B0A" w:rsidTr="00D816E6">
        <w:trPr>
          <w:trHeight w:val="737"/>
          <w:jc w:val="center"/>
        </w:trPr>
        <w:tc>
          <w:tcPr>
            <w:tcW w:w="889" w:type="pct"/>
            <w:shd w:val="clear" w:color="auto" w:fill="auto"/>
            <w:vAlign w:val="center"/>
            <w:hideMark/>
          </w:tcPr>
          <w:p w:rsidR="00FE7FEB" w:rsidRPr="00822B0A" w:rsidRDefault="00FE7FEB" w:rsidP="00D816E6">
            <w:pPr>
              <w:spacing w:after="0" w:line="240" w:lineRule="auto"/>
              <w:rPr>
                <w:rFonts w:eastAsia="Times New Roman"/>
                <w:b/>
                <w:bCs/>
                <w:lang w:eastAsia="tr-TR"/>
              </w:rPr>
            </w:pPr>
            <w:r w:rsidRPr="00822B0A">
              <w:rPr>
                <w:rFonts w:eastAsia="Times New Roman"/>
                <w:b/>
                <w:bCs/>
                <w:lang w:eastAsia="tr-TR"/>
              </w:rPr>
              <w:t>No of invalid measurements</w:t>
            </w:r>
          </w:p>
        </w:tc>
        <w:tc>
          <w:tcPr>
            <w:tcW w:w="444"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2.713</w:t>
            </w:r>
          </w:p>
        </w:tc>
        <w:tc>
          <w:tcPr>
            <w:tcW w:w="359"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sidRPr="00822B0A">
              <w:rPr>
                <w:rFonts w:eastAsia="Times New Roman"/>
                <w:lang w:eastAsia="tr-TR"/>
              </w:rPr>
              <w:t>3</w:t>
            </w:r>
          </w:p>
        </w:tc>
        <w:tc>
          <w:tcPr>
            <w:tcW w:w="775"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4.521</w:t>
            </w:r>
          </w:p>
        </w:tc>
        <w:tc>
          <w:tcPr>
            <w:tcW w:w="360" w:type="pct"/>
            <w:shd w:val="clear" w:color="auto" w:fill="auto"/>
            <w:noWrap/>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4,87</w:t>
            </w:r>
          </w:p>
        </w:tc>
        <w:tc>
          <w:tcPr>
            <w:tcW w:w="630" w:type="pct"/>
            <w:shd w:val="clear" w:color="auto" w:fill="auto"/>
            <w:noWrap/>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66,64</w:t>
            </w:r>
          </w:p>
        </w:tc>
        <w:tc>
          <w:tcPr>
            <w:tcW w:w="583"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1.975</w:t>
            </w:r>
          </w:p>
        </w:tc>
        <w:tc>
          <w:tcPr>
            <w:tcW w:w="328"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1,95</w:t>
            </w:r>
          </w:p>
        </w:tc>
        <w:tc>
          <w:tcPr>
            <w:tcW w:w="630" w:type="pct"/>
            <w:shd w:val="clear" w:color="auto" w:fill="auto"/>
            <w:vAlign w:val="center"/>
            <w:hideMark/>
          </w:tcPr>
          <w:p w:rsidR="00FE7FEB" w:rsidRPr="00822B0A" w:rsidRDefault="00FE7FEB" w:rsidP="00D816E6">
            <w:pPr>
              <w:spacing w:after="0" w:line="240" w:lineRule="auto"/>
              <w:jc w:val="center"/>
              <w:rPr>
                <w:rFonts w:eastAsia="Times New Roman"/>
                <w:lang w:eastAsia="tr-TR"/>
              </w:rPr>
            </w:pPr>
            <w:r>
              <w:rPr>
                <w:rFonts w:ascii="Calibri" w:eastAsia="Times New Roman" w:hAnsi="Calibri"/>
                <w:color w:val="000000"/>
                <w:lang w:eastAsia="tr-TR"/>
              </w:rPr>
              <w:t>-56,31</w:t>
            </w:r>
          </w:p>
        </w:tc>
      </w:tr>
      <w:tr w:rsidR="00FE7FEB" w:rsidRPr="00822B0A" w:rsidTr="00D816E6">
        <w:trPr>
          <w:trHeight w:val="737"/>
          <w:jc w:val="center"/>
        </w:trPr>
        <w:tc>
          <w:tcPr>
            <w:tcW w:w="889" w:type="pct"/>
            <w:shd w:val="clear" w:color="auto" w:fill="auto"/>
            <w:vAlign w:val="center"/>
            <w:hideMark/>
          </w:tcPr>
          <w:p w:rsidR="00FE7FEB" w:rsidRPr="00822B0A" w:rsidRDefault="00FE7FEB" w:rsidP="00D816E6">
            <w:pPr>
              <w:spacing w:after="0" w:line="240" w:lineRule="auto"/>
              <w:rPr>
                <w:rFonts w:eastAsia="Times New Roman"/>
                <w:b/>
                <w:bCs/>
                <w:lang w:eastAsia="tr-TR"/>
              </w:rPr>
            </w:pPr>
            <w:r w:rsidRPr="00822B0A">
              <w:rPr>
                <w:rFonts w:eastAsia="Times New Roman"/>
                <w:b/>
                <w:bCs/>
                <w:lang w:eastAsia="tr-TR"/>
              </w:rPr>
              <w:t>Total no of measurements</w:t>
            </w:r>
          </w:p>
        </w:tc>
        <w:tc>
          <w:tcPr>
            <w:tcW w:w="444" w:type="pct"/>
            <w:shd w:val="clear" w:color="auto" w:fill="auto"/>
            <w:vAlign w:val="center"/>
            <w:hideMark/>
          </w:tcPr>
          <w:p w:rsidR="00FE7FEB" w:rsidRPr="00822B0A" w:rsidRDefault="00FE7FEB" w:rsidP="00D816E6">
            <w:pPr>
              <w:spacing w:after="0" w:line="240" w:lineRule="auto"/>
              <w:jc w:val="center"/>
              <w:rPr>
                <w:rFonts w:eastAsia="Times New Roman"/>
                <w:b/>
                <w:bCs/>
                <w:lang w:eastAsia="tr-TR"/>
              </w:rPr>
            </w:pPr>
            <w:r>
              <w:rPr>
                <w:rFonts w:ascii="Calibri" w:eastAsia="Times New Roman" w:hAnsi="Calibri"/>
                <w:b/>
                <w:bCs/>
                <w:color w:val="000000"/>
                <w:lang w:eastAsia="tr-TR"/>
              </w:rPr>
              <w:t>92.997</w:t>
            </w:r>
          </w:p>
        </w:tc>
        <w:tc>
          <w:tcPr>
            <w:tcW w:w="359" w:type="pct"/>
            <w:shd w:val="clear" w:color="auto" w:fill="auto"/>
            <w:vAlign w:val="center"/>
            <w:hideMark/>
          </w:tcPr>
          <w:p w:rsidR="00FE7FEB" w:rsidRPr="00822B0A" w:rsidRDefault="00FE7FEB" w:rsidP="00D816E6">
            <w:pPr>
              <w:spacing w:after="0" w:line="240" w:lineRule="auto"/>
              <w:jc w:val="center"/>
              <w:rPr>
                <w:rFonts w:eastAsia="Times New Roman"/>
                <w:b/>
                <w:bCs/>
                <w:lang w:eastAsia="tr-TR"/>
              </w:rPr>
            </w:pPr>
            <w:r w:rsidRPr="00822B0A">
              <w:rPr>
                <w:rFonts w:eastAsia="Times New Roman"/>
                <w:b/>
                <w:bCs/>
                <w:lang w:eastAsia="tr-TR"/>
              </w:rPr>
              <w:t>100</w:t>
            </w:r>
          </w:p>
        </w:tc>
        <w:tc>
          <w:tcPr>
            <w:tcW w:w="775" w:type="pct"/>
            <w:shd w:val="clear" w:color="auto" w:fill="auto"/>
            <w:vAlign w:val="center"/>
            <w:hideMark/>
          </w:tcPr>
          <w:p w:rsidR="00FE7FEB" w:rsidRPr="00822B0A" w:rsidRDefault="00FE7FEB" w:rsidP="00D816E6">
            <w:pPr>
              <w:spacing w:after="0" w:line="240" w:lineRule="auto"/>
              <w:jc w:val="center"/>
              <w:rPr>
                <w:rFonts w:eastAsia="Times New Roman"/>
                <w:b/>
                <w:bCs/>
                <w:lang w:eastAsia="tr-TR"/>
              </w:rPr>
            </w:pPr>
            <w:r w:rsidRPr="00822B0A">
              <w:rPr>
                <w:rFonts w:eastAsia="Times New Roman"/>
                <w:b/>
                <w:bCs/>
                <w:lang w:eastAsia="tr-TR"/>
              </w:rPr>
              <w:t>92.</w:t>
            </w:r>
            <w:r>
              <w:rPr>
                <w:rFonts w:eastAsia="Times New Roman"/>
                <w:b/>
                <w:bCs/>
                <w:lang w:eastAsia="tr-TR"/>
              </w:rPr>
              <w:t>916</w:t>
            </w:r>
          </w:p>
        </w:tc>
        <w:tc>
          <w:tcPr>
            <w:tcW w:w="360" w:type="pct"/>
            <w:shd w:val="clear" w:color="auto" w:fill="auto"/>
            <w:noWrap/>
            <w:vAlign w:val="center"/>
            <w:hideMark/>
          </w:tcPr>
          <w:p w:rsidR="00FE7FEB" w:rsidRPr="00822B0A" w:rsidRDefault="00FE7FEB" w:rsidP="00D816E6">
            <w:pPr>
              <w:spacing w:after="0" w:line="240" w:lineRule="auto"/>
              <w:jc w:val="center"/>
              <w:rPr>
                <w:rFonts w:eastAsia="Times New Roman"/>
                <w:b/>
                <w:bCs/>
                <w:lang w:eastAsia="tr-TR"/>
              </w:rPr>
            </w:pPr>
            <w:r w:rsidRPr="00822B0A">
              <w:rPr>
                <w:rFonts w:eastAsia="Times New Roman"/>
                <w:b/>
                <w:bCs/>
                <w:lang w:eastAsia="tr-TR"/>
              </w:rPr>
              <w:t>100</w:t>
            </w:r>
          </w:p>
        </w:tc>
        <w:tc>
          <w:tcPr>
            <w:tcW w:w="630" w:type="pct"/>
            <w:shd w:val="clear" w:color="auto" w:fill="auto"/>
            <w:noWrap/>
            <w:vAlign w:val="center"/>
            <w:hideMark/>
          </w:tcPr>
          <w:p w:rsidR="00FE7FEB" w:rsidRPr="00822B0A" w:rsidRDefault="00FE7FEB" w:rsidP="00D816E6">
            <w:pPr>
              <w:spacing w:after="0" w:line="240" w:lineRule="auto"/>
              <w:jc w:val="center"/>
              <w:rPr>
                <w:rFonts w:eastAsia="Times New Roman"/>
                <w:b/>
                <w:bCs/>
                <w:lang w:eastAsia="tr-TR"/>
              </w:rPr>
            </w:pPr>
            <w:r>
              <w:rPr>
                <w:rFonts w:eastAsia="Times New Roman"/>
                <w:b/>
                <w:bCs/>
                <w:lang w:eastAsia="tr-TR"/>
              </w:rPr>
              <w:t>0,087</w:t>
            </w:r>
          </w:p>
        </w:tc>
        <w:tc>
          <w:tcPr>
            <w:tcW w:w="583" w:type="pct"/>
            <w:shd w:val="clear" w:color="auto" w:fill="auto"/>
            <w:vAlign w:val="center"/>
            <w:hideMark/>
          </w:tcPr>
          <w:p w:rsidR="00FE7FEB" w:rsidRPr="00822B0A" w:rsidRDefault="00FE7FEB" w:rsidP="00D816E6">
            <w:pPr>
              <w:spacing w:after="0" w:line="240" w:lineRule="auto"/>
              <w:jc w:val="center"/>
              <w:rPr>
                <w:rFonts w:eastAsia="Times New Roman"/>
                <w:b/>
                <w:bCs/>
                <w:lang w:eastAsia="tr-TR"/>
              </w:rPr>
            </w:pPr>
            <w:r>
              <w:rPr>
                <w:rFonts w:ascii="Calibri" w:eastAsia="Times New Roman" w:hAnsi="Calibri"/>
                <w:b/>
                <w:bCs/>
                <w:color w:val="000000"/>
                <w:lang w:eastAsia="tr-TR"/>
              </w:rPr>
              <w:t>101.290</w:t>
            </w:r>
          </w:p>
        </w:tc>
        <w:tc>
          <w:tcPr>
            <w:tcW w:w="328" w:type="pct"/>
            <w:shd w:val="clear" w:color="auto" w:fill="auto"/>
            <w:vAlign w:val="center"/>
            <w:hideMark/>
          </w:tcPr>
          <w:p w:rsidR="00FE7FEB" w:rsidRPr="00822B0A" w:rsidRDefault="00FE7FEB" w:rsidP="00D816E6">
            <w:pPr>
              <w:spacing w:after="0" w:line="240" w:lineRule="auto"/>
              <w:jc w:val="center"/>
              <w:rPr>
                <w:rFonts w:eastAsia="Times New Roman"/>
                <w:b/>
                <w:bCs/>
                <w:lang w:eastAsia="tr-TR"/>
              </w:rPr>
            </w:pPr>
            <w:r w:rsidRPr="00822B0A">
              <w:rPr>
                <w:rFonts w:eastAsia="Times New Roman"/>
                <w:b/>
                <w:bCs/>
                <w:lang w:eastAsia="tr-TR"/>
              </w:rPr>
              <w:t>100</w:t>
            </w:r>
          </w:p>
        </w:tc>
        <w:tc>
          <w:tcPr>
            <w:tcW w:w="630" w:type="pct"/>
            <w:shd w:val="clear" w:color="auto" w:fill="auto"/>
            <w:vAlign w:val="center"/>
            <w:hideMark/>
          </w:tcPr>
          <w:p w:rsidR="00FE7FEB" w:rsidRPr="00822B0A" w:rsidRDefault="00FE7FEB" w:rsidP="00D816E6">
            <w:pPr>
              <w:spacing w:after="0" w:line="240" w:lineRule="auto"/>
              <w:jc w:val="center"/>
              <w:rPr>
                <w:rFonts w:eastAsia="Times New Roman"/>
                <w:b/>
                <w:bCs/>
                <w:lang w:eastAsia="tr-TR"/>
              </w:rPr>
            </w:pPr>
            <w:r>
              <w:rPr>
                <w:rFonts w:ascii="Calibri" w:eastAsia="Times New Roman" w:hAnsi="Calibri"/>
                <w:b/>
                <w:bCs/>
                <w:color w:val="000000"/>
                <w:lang w:eastAsia="tr-TR"/>
              </w:rPr>
              <w:t>9,01</w:t>
            </w:r>
          </w:p>
        </w:tc>
      </w:tr>
    </w:tbl>
    <w:p w:rsidR="00FE7FEB" w:rsidRPr="00822B0A" w:rsidRDefault="00FE7FEB" w:rsidP="00FE7FEB">
      <w:pPr>
        <w:spacing w:after="0"/>
        <w:jc w:val="both"/>
      </w:pPr>
    </w:p>
    <w:p w:rsidR="00FE7FEB" w:rsidRDefault="00FE7FEB" w:rsidP="00FE7FEB">
      <w:pPr>
        <w:spacing w:after="120" w:line="240" w:lineRule="auto"/>
        <w:jc w:val="both"/>
      </w:pPr>
      <w:r w:rsidRPr="00822B0A">
        <w:t>Administrative fines imposed as a result of the inspections and investigations carried out in Petroleum Market in 201</w:t>
      </w:r>
      <w:r>
        <w:t>8</w:t>
      </w:r>
      <w:r w:rsidRPr="00822B0A">
        <w:t xml:space="preserve"> are shown in Table 6.3 and Table 6.4.</w:t>
      </w:r>
    </w:p>
    <w:p w:rsidR="00FE7FEB" w:rsidRDefault="00FE7FEB" w:rsidP="00FE7FEB">
      <w:pPr>
        <w:spacing w:after="120" w:line="240" w:lineRule="auto"/>
        <w:jc w:val="both"/>
      </w:pPr>
    </w:p>
    <w:p w:rsidR="00216EDE" w:rsidRDefault="00216EDE" w:rsidP="00FE7FEB">
      <w:pPr>
        <w:spacing w:after="120" w:line="240" w:lineRule="auto"/>
        <w:jc w:val="both"/>
      </w:pPr>
    </w:p>
    <w:p w:rsidR="00216EDE" w:rsidRPr="00216EDE" w:rsidRDefault="00216EDE" w:rsidP="00216EDE"/>
    <w:tbl>
      <w:tblPr>
        <w:tblpPr w:leftFromText="141" w:rightFromText="141" w:vertAnchor="text" w:horzAnchor="margin" w:tblpY="366"/>
        <w:tblW w:w="5000" w:type="pct"/>
        <w:tblCellMar>
          <w:left w:w="70" w:type="dxa"/>
          <w:right w:w="70" w:type="dxa"/>
        </w:tblCellMar>
        <w:tblLook w:val="04A0" w:firstRow="1" w:lastRow="0" w:firstColumn="1" w:lastColumn="0" w:noHBand="0" w:noVBand="1"/>
      </w:tblPr>
      <w:tblGrid>
        <w:gridCol w:w="4967"/>
        <w:gridCol w:w="1650"/>
        <w:gridCol w:w="974"/>
        <w:gridCol w:w="1283"/>
        <w:gridCol w:w="672"/>
      </w:tblGrid>
      <w:tr w:rsidR="00FE7FEB" w:rsidTr="00216EDE">
        <w:trPr>
          <w:trHeight w:val="20"/>
        </w:trPr>
        <w:tc>
          <w:tcPr>
            <w:tcW w:w="2602"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val="tr-TR" w:eastAsia="tr-TR"/>
              </w:rPr>
            </w:pPr>
            <w:r w:rsidRPr="00822B0A">
              <w:rPr>
                <w:rFonts w:eastAsia="Times New Roman"/>
                <w:b/>
                <w:bCs/>
                <w:color w:val="FFFFFF" w:themeColor="background1"/>
                <w:lang w:eastAsia="tr-TR"/>
              </w:rPr>
              <w:t>License Type</w:t>
            </w:r>
          </w:p>
        </w:tc>
        <w:tc>
          <w:tcPr>
            <w:tcW w:w="864" w:type="pct"/>
            <w:tcBorders>
              <w:top w:val="single" w:sz="8" w:space="0" w:color="BFBFBF"/>
              <w:left w:val="nil"/>
              <w:bottom w:val="single" w:sz="8" w:space="0" w:color="BFBFBF"/>
              <w:right w:val="single" w:sz="8" w:space="0" w:color="BFBFBF"/>
            </w:tcBorders>
            <w:shd w:val="clear" w:color="auto" w:fill="6E9ECA"/>
            <w:vAlign w:val="center"/>
            <w:hideMark/>
          </w:tcPr>
          <w:p w:rsidR="00FE7FEB" w:rsidRPr="00D34B70" w:rsidRDefault="00FE7FEB" w:rsidP="00D816E6">
            <w:pPr>
              <w:spacing w:after="0" w:line="240" w:lineRule="auto"/>
              <w:jc w:val="center"/>
              <w:rPr>
                <w:rFonts w:ascii="Calibri" w:eastAsia="Times New Roman" w:hAnsi="Calibri"/>
                <w:b/>
                <w:bCs/>
                <w:color w:val="FFFFFF"/>
                <w:lang w:eastAsia="tr-TR"/>
              </w:rPr>
            </w:pPr>
            <w:r w:rsidRPr="00822B0A">
              <w:rPr>
                <w:rFonts w:eastAsia="Times New Roman"/>
                <w:b/>
                <w:bCs/>
                <w:color w:val="FFFFFF" w:themeColor="background1"/>
                <w:lang w:eastAsia="tr-TR"/>
              </w:rPr>
              <w:t>No of administrative fines imposed</w:t>
            </w:r>
          </w:p>
        </w:tc>
        <w:tc>
          <w:tcPr>
            <w:tcW w:w="510"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w:t>
            </w:r>
          </w:p>
        </w:tc>
        <w:tc>
          <w:tcPr>
            <w:tcW w:w="672" w:type="pct"/>
            <w:tcBorders>
              <w:top w:val="single" w:sz="8" w:space="0" w:color="BFBFBF"/>
              <w:left w:val="nil"/>
              <w:bottom w:val="single" w:sz="8" w:space="0" w:color="BFBFBF"/>
              <w:right w:val="single" w:sz="8" w:space="0" w:color="BFBFBF"/>
            </w:tcBorders>
            <w:shd w:val="clear" w:color="auto" w:fill="6E9ECA"/>
            <w:vAlign w:val="center"/>
            <w:hideMark/>
          </w:tcPr>
          <w:p w:rsidR="00FE7FEB" w:rsidRPr="00D34B70" w:rsidRDefault="00FE7FEB" w:rsidP="00D816E6">
            <w:pPr>
              <w:spacing w:after="0" w:line="240" w:lineRule="auto"/>
              <w:jc w:val="center"/>
              <w:rPr>
                <w:rFonts w:ascii="Calibri" w:eastAsia="Times New Roman" w:hAnsi="Calibri"/>
                <w:b/>
                <w:bCs/>
                <w:color w:val="FFFFFF"/>
                <w:lang w:val="it-IT" w:eastAsia="tr-TR"/>
              </w:rPr>
            </w:pPr>
            <w:r w:rsidRPr="00D34B70">
              <w:rPr>
                <w:rFonts w:ascii="Calibri" w:eastAsia="Times New Roman" w:hAnsi="Calibri"/>
                <w:b/>
                <w:bCs/>
                <w:color w:val="FFFFFF"/>
                <w:lang w:val="it-IT" w:eastAsia="tr-TR"/>
              </w:rPr>
              <w:t>İdari Para Cezası Tutarı (TL)</w:t>
            </w:r>
          </w:p>
        </w:tc>
        <w:tc>
          <w:tcPr>
            <w:tcW w:w="352"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r>
      <w:tr w:rsidR="00FE7FE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Distributor</w:t>
            </w:r>
          </w:p>
        </w:tc>
        <w:tc>
          <w:tcPr>
            <w:tcW w:w="86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412</w:t>
            </w:r>
          </w:p>
        </w:tc>
        <w:tc>
          <w:tcPr>
            <w:tcW w:w="5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31,16</w:t>
            </w:r>
          </w:p>
        </w:tc>
        <w:tc>
          <w:tcPr>
            <w:tcW w:w="67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449.302.361</w:t>
            </w:r>
          </w:p>
        </w:tc>
        <w:tc>
          <w:tcPr>
            <w:tcW w:w="35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74,86</w:t>
            </w:r>
          </w:p>
        </w:tc>
      </w:tr>
      <w:tr w:rsidR="00FE7FE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eastAsia="Times New Roman"/>
                <w:lang w:eastAsia="tr-TR"/>
              </w:rPr>
              <w:t>V</w:t>
            </w:r>
            <w:r w:rsidRPr="00822B0A">
              <w:rPr>
                <w:rFonts w:eastAsia="Times New Roman"/>
                <w:lang w:eastAsia="tr-TR"/>
              </w:rPr>
              <w:t>endorship</w:t>
            </w:r>
          </w:p>
        </w:tc>
        <w:tc>
          <w:tcPr>
            <w:tcW w:w="86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857</w:t>
            </w:r>
          </w:p>
        </w:tc>
        <w:tc>
          <w:tcPr>
            <w:tcW w:w="5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64,83</w:t>
            </w:r>
          </w:p>
        </w:tc>
        <w:tc>
          <w:tcPr>
            <w:tcW w:w="67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130.785.003</w:t>
            </w:r>
          </w:p>
        </w:tc>
        <w:tc>
          <w:tcPr>
            <w:tcW w:w="35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21,79</w:t>
            </w:r>
          </w:p>
        </w:tc>
      </w:tr>
      <w:tr w:rsidR="00FE7FE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Lube oil</w:t>
            </w:r>
          </w:p>
        </w:tc>
        <w:tc>
          <w:tcPr>
            <w:tcW w:w="86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42</w:t>
            </w:r>
          </w:p>
        </w:tc>
        <w:tc>
          <w:tcPr>
            <w:tcW w:w="5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3,18</w:t>
            </w:r>
          </w:p>
        </w:tc>
        <w:tc>
          <w:tcPr>
            <w:tcW w:w="67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14.644.181</w:t>
            </w:r>
          </w:p>
        </w:tc>
        <w:tc>
          <w:tcPr>
            <w:tcW w:w="35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2,44</w:t>
            </w:r>
          </w:p>
        </w:tc>
      </w:tr>
      <w:tr w:rsidR="00FE7FE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Storage</w:t>
            </w:r>
          </w:p>
        </w:tc>
        <w:tc>
          <w:tcPr>
            <w:tcW w:w="86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6</w:t>
            </w:r>
          </w:p>
        </w:tc>
        <w:tc>
          <w:tcPr>
            <w:tcW w:w="5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0,45</w:t>
            </w:r>
          </w:p>
        </w:tc>
        <w:tc>
          <w:tcPr>
            <w:tcW w:w="67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3.948.243</w:t>
            </w:r>
          </w:p>
        </w:tc>
        <w:tc>
          <w:tcPr>
            <w:tcW w:w="35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0,66</w:t>
            </w:r>
          </w:p>
        </w:tc>
      </w:tr>
      <w:tr w:rsidR="00FE7FE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sidRPr="00E7600B">
              <w:rPr>
                <w:rFonts w:ascii="Calibri" w:eastAsia="Times New Roman" w:hAnsi="Calibri"/>
                <w:lang w:eastAsia="tr-TR"/>
              </w:rPr>
              <w:t xml:space="preserve">Surveillance Companies Authorized by the </w:t>
            </w:r>
            <w:r>
              <w:rPr>
                <w:rFonts w:ascii="Calibri" w:eastAsia="Times New Roman" w:hAnsi="Calibri"/>
                <w:lang w:eastAsia="tr-TR"/>
              </w:rPr>
              <w:t>Institution</w:t>
            </w:r>
          </w:p>
        </w:tc>
        <w:tc>
          <w:tcPr>
            <w:tcW w:w="86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w:t>
            </w:r>
          </w:p>
        </w:tc>
        <w:tc>
          <w:tcPr>
            <w:tcW w:w="5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0,23</w:t>
            </w:r>
          </w:p>
        </w:tc>
        <w:tc>
          <w:tcPr>
            <w:tcW w:w="67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695.789</w:t>
            </w:r>
          </w:p>
        </w:tc>
        <w:tc>
          <w:tcPr>
            <w:tcW w:w="35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0,12</w:t>
            </w:r>
          </w:p>
        </w:tc>
      </w:tr>
      <w:tr w:rsidR="00FE7FE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Free user</w:t>
            </w:r>
          </w:p>
        </w:tc>
        <w:tc>
          <w:tcPr>
            <w:tcW w:w="86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w:t>
            </w:r>
          </w:p>
        </w:tc>
        <w:tc>
          <w:tcPr>
            <w:tcW w:w="5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0,08</w:t>
            </w:r>
          </w:p>
        </w:tc>
        <w:tc>
          <w:tcPr>
            <w:tcW w:w="67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422.879</w:t>
            </w:r>
          </w:p>
        </w:tc>
        <w:tc>
          <w:tcPr>
            <w:tcW w:w="35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0,07</w:t>
            </w:r>
          </w:p>
        </w:tc>
      </w:tr>
      <w:tr w:rsidR="00FE7FE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Bunker</w:t>
            </w:r>
          </w:p>
        </w:tc>
        <w:tc>
          <w:tcPr>
            <w:tcW w:w="86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w:t>
            </w:r>
          </w:p>
        </w:tc>
        <w:tc>
          <w:tcPr>
            <w:tcW w:w="5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0,08</w:t>
            </w:r>
          </w:p>
        </w:tc>
        <w:tc>
          <w:tcPr>
            <w:tcW w:w="67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363.755</w:t>
            </w:r>
          </w:p>
        </w:tc>
        <w:tc>
          <w:tcPr>
            <w:tcW w:w="35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0,06</w:t>
            </w:r>
          </w:p>
        </w:tc>
      </w:tr>
      <w:tr w:rsidR="00FE7FE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FE7FEB" w:rsidRDefault="00FE7FEB" w:rsidP="00D816E6">
            <w:pPr>
              <w:spacing w:after="0" w:line="240" w:lineRule="auto"/>
              <w:jc w:val="both"/>
              <w:rPr>
                <w:rFonts w:ascii="Calibri" w:eastAsia="Times New Roman" w:hAnsi="Calibri"/>
                <w:b/>
                <w:bCs/>
                <w:lang w:eastAsia="tr-TR"/>
              </w:rPr>
            </w:pPr>
            <w:r>
              <w:rPr>
                <w:rFonts w:ascii="Calibri" w:eastAsia="Times New Roman" w:hAnsi="Calibri"/>
                <w:b/>
                <w:bCs/>
                <w:lang w:eastAsia="tr-TR"/>
              </w:rPr>
              <w:t>Total</w:t>
            </w:r>
          </w:p>
        </w:tc>
        <w:tc>
          <w:tcPr>
            <w:tcW w:w="86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1.322</w:t>
            </w:r>
          </w:p>
        </w:tc>
        <w:tc>
          <w:tcPr>
            <w:tcW w:w="5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100</w:t>
            </w:r>
          </w:p>
        </w:tc>
        <w:tc>
          <w:tcPr>
            <w:tcW w:w="67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600.162.211</w:t>
            </w:r>
          </w:p>
        </w:tc>
        <w:tc>
          <w:tcPr>
            <w:tcW w:w="35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100</w:t>
            </w:r>
          </w:p>
        </w:tc>
      </w:tr>
    </w:tbl>
    <w:p w:rsidR="00216EDE" w:rsidRPr="00216EDE" w:rsidRDefault="00216EDE" w:rsidP="00216EDE">
      <w:pPr>
        <w:pStyle w:val="Balk5"/>
      </w:pPr>
      <w:bookmarkStart w:id="302" w:name="_Toc12958514"/>
      <w:r w:rsidRPr="00216EDE">
        <w:rPr>
          <w:rStyle w:val="Gl"/>
          <w:b/>
          <w:bCs w:val="0"/>
        </w:rPr>
        <w:t>Table 6.3: Dispersion of administrative fines imposed in Petroleum Market in 2018 by license types</w:t>
      </w:r>
      <w:bookmarkEnd w:id="302"/>
    </w:p>
    <w:p w:rsidR="00FE7FEB" w:rsidRDefault="00FE7FEB" w:rsidP="00FE7FEB"/>
    <w:p w:rsidR="00FE7FEB" w:rsidRPr="00216EDE" w:rsidRDefault="00FE7FEB" w:rsidP="00216EDE">
      <w:pPr>
        <w:pStyle w:val="Balk5"/>
      </w:pPr>
      <w:bookmarkStart w:id="303" w:name="_Toc12958515"/>
      <w:r w:rsidRPr="00216EDE">
        <w:rPr>
          <w:rStyle w:val="Gl"/>
          <w:b/>
          <w:bCs w:val="0"/>
        </w:rPr>
        <w:t>Table 6.4: Dispersion of administrative fines imposed in Petroleum Market in 2017-2018 by license types</w:t>
      </w:r>
      <w:bookmarkEnd w:id="303"/>
      <w:r w:rsidRPr="00216EDE">
        <w:rPr>
          <w:rStyle w:val="Gl"/>
          <w:b/>
          <w:bCs w:val="0"/>
        </w:rPr>
        <w:t xml:space="preserve"> </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885"/>
        <w:gridCol w:w="1840"/>
        <w:gridCol w:w="660"/>
        <w:gridCol w:w="1501"/>
        <w:gridCol w:w="660"/>
      </w:tblGrid>
      <w:tr w:rsidR="00FE7FEB" w:rsidTr="00D816E6">
        <w:trPr>
          <w:trHeight w:val="20"/>
        </w:trPr>
        <w:tc>
          <w:tcPr>
            <w:tcW w:w="736"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val="tr-TR" w:eastAsia="tr-TR"/>
              </w:rPr>
            </w:pPr>
            <w:r>
              <w:rPr>
                <w:rFonts w:ascii="Calibri" w:eastAsia="Times New Roman" w:hAnsi="Calibri"/>
                <w:b/>
                <w:bCs/>
                <w:color w:val="FFFFFF"/>
                <w:lang w:eastAsia="tr-TR"/>
              </w:rPr>
              <w:t> </w:t>
            </w:r>
            <w:r w:rsidRPr="00822B0A">
              <w:rPr>
                <w:rFonts w:eastAsia="Times New Roman"/>
                <w:b/>
                <w:bCs/>
                <w:color w:val="FFFFFF" w:themeColor="background1"/>
                <w:lang w:eastAsia="tr-TR"/>
              </w:rPr>
              <w:t>License Type</w:t>
            </w:r>
          </w:p>
        </w:tc>
        <w:tc>
          <w:tcPr>
            <w:tcW w:w="2165"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2017</w:t>
            </w:r>
          </w:p>
        </w:tc>
        <w:tc>
          <w:tcPr>
            <w:tcW w:w="209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2018</w:t>
            </w:r>
          </w:p>
        </w:tc>
      </w:tr>
      <w:tr w:rsidR="00FE7FEB" w:rsidTr="00D816E6">
        <w:trPr>
          <w:trHeight w:val="2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rPr>
                <w:rFonts w:ascii="Calibri" w:eastAsia="Times New Roman" w:hAnsi="Calibri"/>
                <w:b/>
                <w:bCs/>
                <w:color w:val="FFFFFF"/>
                <w:lang w:eastAsia="tr-TR"/>
              </w:rPr>
            </w:pP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E7600B" w:rsidRDefault="00FE7FEB" w:rsidP="00D816E6">
            <w:pPr>
              <w:spacing w:after="0" w:line="240" w:lineRule="auto"/>
              <w:jc w:val="center"/>
              <w:rPr>
                <w:rFonts w:ascii="Calibri" w:eastAsia="Times New Roman" w:hAnsi="Calibri"/>
                <w:b/>
                <w:bCs/>
                <w:color w:val="FFFFFF"/>
                <w:lang w:eastAsia="tr-TR"/>
              </w:rPr>
            </w:pPr>
            <w:r w:rsidRPr="00822B0A">
              <w:rPr>
                <w:rFonts w:eastAsia="Times New Roman"/>
                <w:b/>
                <w:bCs/>
                <w:color w:val="FFFFFF" w:themeColor="background1"/>
                <w:lang w:eastAsia="tr-TR"/>
              </w:rPr>
              <w:t>Amount of administrative fine (TL)</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E7600B" w:rsidRDefault="00FE7FEB" w:rsidP="00D816E6">
            <w:pPr>
              <w:spacing w:after="0" w:line="240" w:lineRule="auto"/>
              <w:jc w:val="center"/>
              <w:rPr>
                <w:rFonts w:ascii="Calibri" w:eastAsia="Times New Roman" w:hAnsi="Calibri"/>
                <w:b/>
                <w:bCs/>
                <w:color w:val="FFFFFF"/>
                <w:lang w:eastAsia="tr-TR"/>
              </w:rPr>
            </w:pPr>
            <w:r w:rsidRPr="00822B0A">
              <w:rPr>
                <w:rFonts w:eastAsia="Times New Roman"/>
                <w:b/>
                <w:bCs/>
                <w:color w:val="FFFFFF" w:themeColor="background1"/>
                <w:lang w:eastAsia="tr-TR"/>
              </w:rPr>
              <w:t>Amount of administrative fine (TL)</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Distributor</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230.238.626</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57,35</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449.302.361</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74,86</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Storage</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153.999.808</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38,36</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130.785.003</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21,79</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Bunker</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1.165.555</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0,3</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14.644.181</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2,44</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Pr>
                <w:rFonts w:ascii="Calibri" w:eastAsia="Times New Roman" w:hAnsi="Calibri"/>
                <w:lang w:eastAsia="tr-TR"/>
              </w:rPr>
              <w:t>Free user</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1.168.306</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0,29</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3.948.243</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0,66</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Processing</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695.789</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0,12</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Lube oil</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422.879</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0,07</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Vendorship</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3.492.678</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0,87</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363.755</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0,06</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sidRPr="00822B0A">
              <w:rPr>
                <w:rFonts w:eastAsia="Times New Roman"/>
                <w:lang w:eastAsia="tr-TR"/>
              </w:rPr>
              <w:t>Refining Undertaking</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11.285.105</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2,81</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lang w:eastAsia="tr-TR"/>
              </w:rPr>
            </w:pPr>
            <w:r w:rsidRPr="00E7600B">
              <w:rPr>
                <w:rFonts w:ascii="Calibri" w:eastAsia="Times New Roman" w:hAnsi="Calibri"/>
                <w:lang w:eastAsia="tr-TR"/>
              </w:rPr>
              <w:t xml:space="preserve">Surveillance Companies Authorized by the </w:t>
            </w:r>
            <w:r>
              <w:rPr>
                <w:rFonts w:ascii="Calibri" w:eastAsia="Times New Roman" w:hAnsi="Calibri"/>
                <w:lang w:eastAsia="tr-TR"/>
              </w:rPr>
              <w:t>Institution</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80.106</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0,02</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w:t>
            </w:r>
          </w:p>
        </w:tc>
      </w:tr>
      <w:tr w:rsidR="00FE7FEB" w:rsidTr="00D816E6">
        <w:trPr>
          <w:trHeight w:val="20"/>
        </w:trPr>
        <w:tc>
          <w:tcPr>
            <w:tcW w:w="7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b/>
                <w:bCs/>
                <w:lang w:eastAsia="tr-TR"/>
              </w:rPr>
            </w:pPr>
            <w:r>
              <w:rPr>
                <w:rFonts w:ascii="Calibri" w:eastAsia="Times New Roman" w:hAnsi="Calibri"/>
                <w:b/>
                <w:bCs/>
                <w:lang w:eastAsia="tr-TR"/>
              </w:rPr>
              <w:t>Total</w:t>
            </w:r>
          </w:p>
        </w:tc>
        <w:tc>
          <w:tcPr>
            <w:tcW w:w="1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401.430.184</w:t>
            </w:r>
          </w:p>
        </w:tc>
        <w:tc>
          <w:tcPr>
            <w:tcW w:w="6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100</w:t>
            </w:r>
          </w:p>
        </w:tc>
        <w:tc>
          <w:tcPr>
            <w:tcW w:w="1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600.162.211</w:t>
            </w:r>
          </w:p>
        </w:tc>
        <w:tc>
          <w:tcPr>
            <w:tcW w:w="6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100</w:t>
            </w:r>
          </w:p>
        </w:tc>
      </w:tr>
    </w:tbl>
    <w:p w:rsidR="00FE7FEB" w:rsidRDefault="00FE7FEB" w:rsidP="00FE7FEB"/>
    <w:p w:rsidR="00FE7FEB" w:rsidRDefault="00FE7FEB" w:rsidP="00FE7FEB">
      <w:pPr>
        <w:spacing w:after="120" w:line="240" w:lineRule="auto"/>
        <w:jc w:val="both"/>
      </w:pPr>
      <w:r w:rsidRPr="00171959">
        <w:t>The distribution of the administrative penalties imposed by Petroleum Market in 201</w:t>
      </w:r>
      <w:r>
        <w:t>8</w:t>
      </w:r>
      <w:r w:rsidRPr="00171959">
        <w:t xml:space="preserve"> is shown in Table </w:t>
      </w:r>
      <w:r>
        <w:t>6.5</w:t>
      </w:r>
    </w:p>
    <w:p w:rsidR="00FE7FEB" w:rsidRDefault="00FE7FEB" w:rsidP="00FE7FEB">
      <w:pPr>
        <w:spacing w:after="120" w:line="240" w:lineRule="auto"/>
        <w:jc w:val="both"/>
      </w:pPr>
    </w:p>
    <w:p w:rsidR="00FE7FEB" w:rsidRPr="00AF1093" w:rsidRDefault="00FE7FEB" w:rsidP="00216EDE">
      <w:pPr>
        <w:pStyle w:val="Balk5"/>
        <w:rPr>
          <w:bCs/>
        </w:rPr>
      </w:pPr>
      <w:bookmarkStart w:id="304" w:name="_Toc12958516"/>
      <w:bookmarkStart w:id="305" w:name="_Toc514251691"/>
      <w:r w:rsidRPr="00AF1093">
        <w:rPr>
          <w:rStyle w:val="Gl"/>
          <w:b/>
          <w:bCs w:val="0"/>
          <w:color w:val="000000" w:themeColor="text1"/>
        </w:rPr>
        <w:t>Table 6.5: Dispersion of Administrative Fines Imposed in Petroleum Market in 2017 by subject matters</w:t>
      </w:r>
      <w:bookmarkEnd w:id="304"/>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522"/>
        <w:gridCol w:w="2012"/>
        <w:gridCol w:w="1581"/>
        <w:gridCol w:w="2211"/>
        <w:gridCol w:w="1220"/>
      </w:tblGrid>
      <w:tr w:rsidR="00FE7FEB" w:rsidTr="001D239F">
        <w:trPr>
          <w:trHeight w:val="689"/>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9461D6">
            <w:pPr>
              <w:rPr>
                <w:lang w:val="tr-TR" w:eastAsia="tr-TR"/>
              </w:rPr>
            </w:pPr>
            <w:r w:rsidRPr="00822B0A">
              <w:rPr>
                <w:lang w:eastAsia="tr-TR"/>
              </w:rPr>
              <w:t>Subject matter</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B6568" w:rsidRDefault="00FE7FEB" w:rsidP="009461D6">
            <w:pPr>
              <w:rPr>
                <w:lang w:eastAsia="tr-TR"/>
              </w:rPr>
            </w:pPr>
            <w:r w:rsidRPr="00822B0A">
              <w:rPr>
                <w:lang w:eastAsia="tr-TR"/>
              </w:rPr>
              <w:t>No of administrative fines imposed</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9461D6">
            <w:pPr>
              <w:rPr>
                <w:lang w:eastAsia="tr-TR"/>
              </w:rPr>
            </w:pPr>
            <w:r>
              <w:rPr>
                <w:lang w:eastAsia="tr-TR"/>
              </w:rPr>
              <w:t>Share (%)</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B6568" w:rsidRDefault="00FE7FEB" w:rsidP="009461D6">
            <w:pPr>
              <w:rPr>
                <w:lang w:eastAsia="tr-TR"/>
              </w:rPr>
            </w:pPr>
            <w:r w:rsidRPr="00822B0A">
              <w:rPr>
                <w:lang w:eastAsia="tr-TR"/>
              </w:rPr>
              <w:t>Amount of administrative fines (TL)</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9461D6">
            <w:pPr>
              <w:rPr>
                <w:lang w:eastAsia="tr-TR"/>
              </w:rPr>
            </w:pPr>
            <w:r>
              <w:rPr>
                <w:lang w:eastAsia="tr-TR"/>
              </w:rPr>
              <w:t>Share (%)</w:t>
            </w:r>
          </w:p>
        </w:tc>
      </w:tr>
      <w:tr w:rsidR="00FE7FEB" w:rsidTr="001D239F">
        <w:trPr>
          <w:trHeight w:val="364"/>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9461D6">
            <w:pPr>
              <w:rPr>
                <w:lang w:eastAsia="tr-TR"/>
              </w:rPr>
            </w:pPr>
            <w:r w:rsidRPr="00822B0A">
              <w:rPr>
                <w:color w:val="000000"/>
                <w:lang w:eastAsia="tr-TR"/>
              </w:rPr>
              <w:t>Authomation liability and out of license activity</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717</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54,24</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324.502.592</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54,07</w:t>
            </w:r>
          </w:p>
        </w:tc>
      </w:tr>
      <w:tr w:rsidR="00FE7FEB" w:rsidTr="00D816E6">
        <w:trPr>
          <w:trHeight w:val="20"/>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9461D6">
            <w:pPr>
              <w:rPr>
                <w:lang w:eastAsia="tr-TR"/>
              </w:rPr>
            </w:pPr>
            <w:r w:rsidRPr="00822B0A">
              <w:rPr>
                <w:color w:val="000000"/>
                <w:lang w:eastAsia="tr-TR"/>
              </w:rPr>
              <w:t>National Marker not being in adequte amount</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44</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3,33</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33.741.303</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5,62</w:t>
            </w:r>
          </w:p>
        </w:tc>
      </w:tr>
      <w:tr w:rsidR="00FE7FEB" w:rsidTr="00D816E6">
        <w:trPr>
          <w:trHeight w:val="687"/>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9461D6">
            <w:pPr>
              <w:rPr>
                <w:lang w:eastAsia="tr-TR"/>
              </w:rPr>
            </w:pPr>
            <w:r w:rsidRPr="00822B0A">
              <w:rPr>
                <w:color w:val="000000"/>
                <w:lang w:eastAsia="tr-TR"/>
              </w:rPr>
              <w:t>Liquid fuel delivery whose origin is not clear or from different distributor</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138</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10,44</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11.633.466</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1,94</w:t>
            </w:r>
          </w:p>
        </w:tc>
      </w:tr>
      <w:tr w:rsidR="00FE7FEB" w:rsidTr="00D816E6">
        <w:trPr>
          <w:trHeight w:val="20"/>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9461D6">
            <w:pPr>
              <w:rPr>
                <w:lang w:eastAsia="tr-TR"/>
              </w:rPr>
            </w:pPr>
            <w:r w:rsidRPr="00822B0A">
              <w:rPr>
                <w:color w:val="000000"/>
                <w:lang w:eastAsia="tr-TR"/>
              </w:rPr>
              <w:t>Other*</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423</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32,00</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230.284.850</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38,37</w:t>
            </w:r>
          </w:p>
        </w:tc>
      </w:tr>
      <w:tr w:rsidR="00FE7FEB" w:rsidTr="001D239F">
        <w:trPr>
          <w:trHeight w:val="208"/>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Default="00FE7FEB" w:rsidP="009461D6">
            <w:pPr>
              <w:rPr>
                <w:lang w:eastAsia="tr-TR"/>
              </w:rPr>
            </w:pPr>
            <w:r>
              <w:rPr>
                <w:lang w:eastAsia="tr-TR"/>
              </w:rPr>
              <w:t>Total</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1322</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100</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600.162.211</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9461D6">
            <w:pPr>
              <w:rPr>
                <w:lang w:eastAsia="tr-TR"/>
              </w:rPr>
            </w:pPr>
            <w:r>
              <w:rPr>
                <w:lang w:eastAsia="tr-TR"/>
              </w:rPr>
              <w:t>100</w:t>
            </w:r>
          </w:p>
        </w:tc>
      </w:tr>
    </w:tbl>
    <w:p w:rsidR="00FE7FEB" w:rsidRDefault="00FE7FEB" w:rsidP="001D239F">
      <w:pPr>
        <w:pStyle w:val="AralkYok"/>
        <w:jc w:val="both"/>
        <w:rPr>
          <w:rFonts w:eastAsia="Times New Roman"/>
          <w:bCs/>
          <w:noProof/>
          <w:color w:val="000000"/>
          <w:sz w:val="20"/>
          <w:szCs w:val="20"/>
          <w:lang w:val="en-GB"/>
        </w:rPr>
      </w:pPr>
      <w:r w:rsidRPr="004B6568">
        <w:rPr>
          <w:rFonts w:eastAsia="Times New Roman"/>
          <w:bCs/>
          <w:noProof/>
          <w:color w:val="000000"/>
          <w:lang w:val="en-GB"/>
        </w:rPr>
        <w:t>*Covers the v</w:t>
      </w:r>
      <w:r w:rsidRPr="004B6568">
        <w:rPr>
          <w:rFonts w:eastAsia="Times New Roman"/>
          <w:bCs/>
          <w:noProof/>
          <w:color w:val="000000"/>
          <w:sz w:val="20"/>
          <w:szCs w:val="20"/>
          <w:lang w:val="en-GB"/>
        </w:rPr>
        <w:t xml:space="preserve">iolations of the Petroleum Market legislation's obligation to avoid carefully the malicious acts and the consequences </w:t>
      </w:r>
    </w:p>
    <w:p w:rsidR="00FE7FEB" w:rsidRPr="004B6568" w:rsidRDefault="00FE7FEB" w:rsidP="001D239F">
      <w:pPr>
        <w:pStyle w:val="AralkYok"/>
        <w:jc w:val="both"/>
        <w:rPr>
          <w:rFonts w:eastAsia="Times New Roman"/>
          <w:bCs/>
          <w:noProof/>
          <w:color w:val="000000"/>
          <w:sz w:val="20"/>
          <w:szCs w:val="20"/>
          <w:lang w:val="en-GB"/>
        </w:rPr>
      </w:pPr>
      <w:r w:rsidRPr="004B6568">
        <w:rPr>
          <w:rFonts w:eastAsia="Times New Roman"/>
          <w:bCs/>
          <w:noProof/>
          <w:color w:val="000000"/>
          <w:sz w:val="20"/>
          <w:szCs w:val="20"/>
          <w:lang w:val="en-GB"/>
        </w:rPr>
        <w:t>of dangerous actions, and the irregularities involved in the National Marker addition process</w:t>
      </w:r>
      <w:r>
        <w:rPr>
          <w:rFonts w:eastAsia="Times New Roman"/>
          <w:bCs/>
          <w:noProof/>
          <w:color w:val="000000"/>
          <w:sz w:val="20"/>
          <w:szCs w:val="20"/>
          <w:lang w:val="en-GB"/>
        </w:rPr>
        <w:t>.</w:t>
      </w:r>
    </w:p>
    <w:p w:rsidR="00FE7FEB" w:rsidRPr="004B6568" w:rsidRDefault="00FE7FEB" w:rsidP="00FE7FEB"/>
    <w:p w:rsidR="00FE7FEB" w:rsidRPr="00AF1093" w:rsidRDefault="00FE7FEB" w:rsidP="00AF1093">
      <w:pPr>
        <w:pStyle w:val="Balk2"/>
      </w:pPr>
      <w:bookmarkStart w:id="306" w:name="_Toc12956366"/>
      <w:r w:rsidRPr="00AF1093">
        <w:t xml:space="preserve">6.4 Liquefied Petroleum Gases </w:t>
      </w:r>
      <w:bookmarkEnd w:id="305"/>
      <w:r w:rsidRPr="00AF1093">
        <w:t>Auditing Activities</w:t>
      </w:r>
      <w:bookmarkEnd w:id="306"/>
    </w:p>
    <w:p w:rsidR="00FE7FEB" w:rsidRPr="00822B0A" w:rsidRDefault="00FE7FEB" w:rsidP="00FE7FEB">
      <w:pPr>
        <w:autoSpaceDE w:val="0"/>
        <w:autoSpaceDN w:val="0"/>
        <w:adjustRightInd w:val="0"/>
        <w:spacing w:after="120" w:line="240" w:lineRule="auto"/>
        <w:jc w:val="both"/>
      </w:pPr>
      <w:r w:rsidRPr="00822B0A">
        <w:t>Liquefied Petroleum Gases market inspections are carried out by examining and evaluating the relevant legislative compliance of the activities and accounts of the real or legal persons engaged in the market in the market. Inspections and penalties to be applied for inspection activities and consequences for activities carried out on the Liquefied Petroleum Gases market are implemented within the framework of Article 16 of Law No. 5307. Transactions are also carried out under the secondary legislation issued based on the provisions of this Law. Petroleum Market and Liquefied Petroleum Gases (LPG) Market under the Cooperation Protocols on Supervision of the Market, the entire market was audited and the activities of natural or legal persons operating without license were stopped by sealing.</w:t>
      </w:r>
    </w:p>
    <w:p w:rsidR="00FE7FEB" w:rsidRPr="00822B0A" w:rsidRDefault="00FE7FEB" w:rsidP="00FE7FEB">
      <w:pPr>
        <w:autoSpaceDE w:val="0"/>
        <w:autoSpaceDN w:val="0"/>
        <w:adjustRightInd w:val="0"/>
        <w:spacing w:after="120" w:line="240" w:lineRule="auto"/>
        <w:jc w:val="both"/>
      </w:pPr>
      <w:r w:rsidRPr="00822B0A">
        <w:t>As per the (LPG) Markets Law No. 5307, Regulations on the Procedures and Principles to be Followed in the Audits of Liquefied Petroleum Gases (LPG) Market, Principles and Procedures to be Followed in the Preliminary Examinations and Investigations, Cooperation Protocols on the Audit of the Petroleum Market and Liquefied Petroleum Gases (LPG) Markets and the Board Decision dated 09.06.2010 and numbered 2598-76,  The determination of whether the LPG cylinders are not necessary, whether they are subject to sales or taxation, whether the LPG owners have obtained the required license permits and documents from the relevant Public Institutions and Organizations, including the ones that are vacant and whether the connections of its deliveries were made by the tube franchisees to the hospital and that the use of the LPG tubes as an outer shell of the bomb system in the construction of handmade explosives by terrorist organizations,  The Ministry of Industry and Technology Coordination has carried out the work plan and the supervisors of the protocol organizations have been audited.</w:t>
      </w:r>
    </w:p>
    <w:p w:rsidR="00FE7FEB" w:rsidRDefault="00FE7FEB" w:rsidP="00FE7FEB"/>
    <w:p w:rsidR="00FE7FEB" w:rsidRPr="00216EDE" w:rsidRDefault="00FE7FEB" w:rsidP="00216EDE">
      <w:pPr>
        <w:pStyle w:val="Balk5"/>
      </w:pPr>
      <w:bookmarkStart w:id="307" w:name="_Toc12958517"/>
      <w:r w:rsidRPr="00216EDE">
        <w:rPr>
          <w:rStyle w:val="Gl"/>
          <w:b/>
          <w:bCs w:val="0"/>
        </w:rPr>
        <w:t>Table 6.6: Dispersion of the administrative fines imposed in 2018 in LPG Market by the license types</w:t>
      </w:r>
      <w:bookmarkEnd w:id="307"/>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449"/>
        <w:gridCol w:w="2209"/>
        <w:gridCol w:w="1268"/>
        <w:gridCol w:w="3352"/>
        <w:gridCol w:w="1268"/>
      </w:tblGrid>
      <w:tr w:rsidR="00FE7FEB" w:rsidTr="00D816E6">
        <w:trPr>
          <w:trHeight w:val="315"/>
          <w:jc w:val="center"/>
        </w:trPr>
        <w:tc>
          <w:tcPr>
            <w:tcW w:w="7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eastAsia="Times New Roman"/>
                <w:b/>
                <w:bCs/>
                <w:color w:val="FFFFFF" w:themeColor="background1"/>
                <w:lang w:val="tr-TR" w:eastAsia="tr-TR"/>
              </w:rPr>
            </w:pPr>
            <w:r>
              <w:rPr>
                <w:rFonts w:eastAsia="Times New Roman"/>
                <w:b/>
                <w:bCs/>
                <w:color w:val="FFFFFF" w:themeColor="background1"/>
                <w:lang w:eastAsia="tr-TR"/>
              </w:rPr>
              <w:t>License Type</w:t>
            </w:r>
          </w:p>
        </w:tc>
        <w:tc>
          <w:tcPr>
            <w:tcW w:w="11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B6568"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No of imposed administrative sanctions</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Share (%)</w:t>
            </w:r>
          </w:p>
        </w:tc>
        <w:tc>
          <w:tcPr>
            <w:tcW w:w="16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B6568" w:rsidRDefault="00FE7FEB" w:rsidP="00D816E6">
            <w:pPr>
              <w:spacing w:after="0" w:line="240" w:lineRule="auto"/>
              <w:jc w:val="center"/>
              <w:rPr>
                <w:rFonts w:eastAsia="Times New Roman"/>
                <w:b/>
                <w:bCs/>
                <w:color w:val="FFFFFF" w:themeColor="background1"/>
                <w:lang w:eastAsia="tr-TR"/>
              </w:rPr>
            </w:pPr>
            <w:r w:rsidRPr="00822B0A">
              <w:rPr>
                <w:rFonts w:eastAsia="Times New Roman"/>
                <w:b/>
                <w:bCs/>
                <w:color w:val="FFFFFF" w:themeColor="background1"/>
                <w:lang w:eastAsia="tr-TR"/>
              </w:rPr>
              <w:t xml:space="preserve">Amount of administrative fines </w:t>
            </w:r>
            <w:r w:rsidRPr="004B6568">
              <w:rPr>
                <w:rFonts w:eastAsia="Times New Roman"/>
                <w:b/>
                <w:bCs/>
                <w:color w:val="FFFFFF" w:themeColor="background1"/>
                <w:lang w:eastAsia="tr-TR"/>
              </w:rPr>
              <w:t>(TL)</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Share (%)</w:t>
            </w:r>
          </w:p>
        </w:tc>
      </w:tr>
      <w:tr w:rsidR="00FE7FEB" w:rsidTr="00D816E6">
        <w:trPr>
          <w:trHeight w:val="300"/>
          <w:jc w:val="center"/>
        </w:trPr>
        <w:tc>
          <w:tcPr>
            <w:tcW w:w="7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sidRPr="00822B0A">
              <w:rPr>
                <w:rFonts w:eastAsia="Times New Roman"/>
                <w:color w:val="000000"/>
                <w:lang w:eastAsia="tr-TR"/>
              </w:rPr>
              <w:t>Vendorship</w:t>
            </w:r>
          </w:p>
        </w:tc>
        <w:tc>
          <w:tcPr>
            <w:tcW w:w="11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eastAsia="Times New Roman"/>
                <w:lang w:eastAsia="tr-TR"/>
              </w:rPr>
            </w:pPr>
            <w:r>
              <w:rPr>
                <w:rFonts w:ascii="Calibri" w:hAnsi="Calibri"/>
              </w:rPr>
              <w:t>750</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ascii="Calibri" w:hAnsi="Calibri"/>
              </w:rPr>
              <w:t>98,81</w:t>
            </w:r>
          </w:p>
        </w:tc>
        <w:tc>
          <w:tcPr>
            <w:tcW w:w="16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eastAsia="Times New Roman"/>
                <w:lang w:eastAsia="tr-TR"/>
              </w:rPr>
            </w:pPr>
            <w:r>
              <w:rPr>
                <w:rFonts w:ascii="Calibri" w:hAnsi="Calibri"/>
              </w:rPr>
              <w:t xml:space="preserve">                                          106.625.778    </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ascii="Calibri" w:hAnsi="Calibri"/>
              </w:rPr>
              <w:t>96,85</w:t>
            </w:r>
          </w:p>
        </w:tc>
      </w:tr>
      <w:tr w:rsidR="00FE7FEB" w:rsidTr="00D816E6">
        <w:trPr>
          <w:trHeight w:val="300"/>
          <w:jc w:val="center"/>
        </w:trPr>
        <w:tc>
          <w:tcPr>
            <w:tcW w:w="7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sidRPr="00822B0A">
              <w:rPr>
                <w:rFonts w:eastAsia="Times New Roman"/>
                <w:color w:val="000000"/>
                <w:lang w:eastAsia="tr-TR"/>
              </w:rPr>
              <w:t>Distributor</w:t>
            </w:r>
          </w:p>
        </w:tc>
        <w:tc>
          <w:tcPr>
            <w:tcW w:w="11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eastAsia="Times New Roman"/>
                <w:lang w:eastAsia="tr-TR"/>
              </w:rPr>
            </w:pPr>
            <w:r>
              <w:rPr>
                <w:rFonts w:ascii="Calibri" w:hAnsi="Calibri"/>
              </w:rPr>
              <w:t>8</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ascii="Calibri" w:hAnsi="Calibri"/>
              </w:rPr>
              <w:t>1,05</w:t>
            </w:r>
          </w:p>
        </w:tc>
        <w:tc>
          <w:tcPr>
            <w:tcW w:w="16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eastAsia="Times New Roman"/>
                <w:lang w:eastAsia="tr-TR"/>
              </w:rPr>
            </w:pPr>
            <w:r>
              <w:rPr>
                <w:rFonts w:ascii="Calibri" w:hAnsi="Calibri"/>
              </w:rPr>
              <w:t xml:space="preserve">                                              3.026.683    </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ascii="Calibri" w:hAnsi="Calibri"/>
              </w:rPr>
              <w:t>2,75</w:t>
            </w:r>
          </w:p>
        </w:tc>
      </w:tr>
      <w:tr w:rsidR="00FE7FEB" w:rsidTr="00D816E6">
        <w:trPr>
          <w:trHeight w:val="300"/>
          <w:jc w:val="center"/>
        </w:trPr>
        <w:tc>
          <w:tcPr>
            <w:tcW w:w="7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lang w:eastAsia="tr-TR"/>
              </w:rPr>
            </w:pPr>
            <w:r w:rsidRPr="00822B0A">
              <w:rPr>
                <w:rFonts w:eastAsia="Times New Roman"/>
                <w:color w:val="000000"/>
                <w:lang w:eastAsia="tr-TR"/>
              </w:rPr>
              <w:t>Storage</w:t>
            </w:r>
          </w:p>
        </w:tc>
        <w:tc>
          <w:tcPr>
            <w:tcW w:w="11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eastAsia="Times New Roman"/>
                <w:lang w:eastAsia="tr-TR"/>
              </w:rPr>
            </w:pPr>
            <w:r>
              <w:rPr>
                <w:rFonts w:ascii="Calibri" w:hAnsi="Calibri"/>
              </w:rPr>
              <w:t>1</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ascii="Calibri" w:hAnsi="Calibri"/>
              </w:rPr>
              <w:t>0,13</w:t>
            </w:r>
          </w:p>
        </w:tc>
        <w:tc>
          <w:tcPr>
            <w:tcW w:w="16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eastAsia="Times New Roman"/>
                <w:lang w:eastAsia="tr-TR"/>
              </w:rPr>
            </w:pPr>
            <w:r>
              <w:rPr>
                <w:rFonts w:ascii="Calibri" w:hAnsi="Calibri"/>
              </w:rPr>
              <w:t xml:space="preserve">                                                  442.592    </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lang w:eastAsia="tr-TR"/>
              </w:rPr>
            </w:pPr>
            <w:r>
              <w:rPr>
                <w:rFonts w:ascii="Calibri" w:hAnsi="Calibri"/>
              </w:rPr>
              <w:t>0,40</w:t>
            </w:r>
          </w:p>
        </w:tc>
      </w:tr>
      <w:tr w:rsidR="00FE7FEB" w:rsidTr="00D816E6">
        <w:trPr>
          <w:trHeight w:val="300"/>
          <w:jc w:val="center"/>
        </w:trPr>
        <w:tc>
          <w:tcPr>
            <w:tcW w:w="7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both"/>
              <w:rPr>
                <w:rFonts w:eastAsia="Times New Roman"/>
                <w:b/>
                <w:bCs/>
                <w:lang w:eastAsia="tr-TR"/>
              </w:rPr>
            </w:pPr>
            <w:r>
              <w:rPr>
                <w:rFonts w:eastAsia="Times New Roman"/>
                <w:b/>
                <w:bCs/>
                <w:lang w:eastAsia="tr-TR"/>
              </w:rPr>
              <w:t>Total</w:t>
            </w:r>
          </w:p>
        </w:tc>
        <w:tc>
          <w:tcPr>
            <w:tcW w:w="11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eastAsia="Times New Roman"/>
                <w:b/>
                <w:lang w:eastAsia="tr-TR"/>
              </w:rPr>
            </w:pPr>
            <w:r>
              <w:rPr>
                <w:rFonts w:ascii="Calibri" w:hAnsi="Calibri"/>
                <w:b/>
                <w:bCs/>
              </w:rPr>
              <w:t>759</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b/>
                <w:lang w:eastAsia="tr-TR"/>
              </w:rPr>
            </w:pPr>
            <w:r>
              <w:rPr>
                <w:rFonts w:ascii="Calibri" w:hAnsi="Calibri"/>
                <w:b/>
                <w:bCs/>
              </w:rPr>
              <w:t>100,00</w:t>
            </w:r>
          </w:p>
        </w:tc>
        <w:tc>
          <w:tcPr>
            <w:tcW w:w="16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right"/>
              <w:rPr>
                <w:rFonts w:eastAsia="Times New Roman"/>
                <w:b/>
                <w:lang w:eastAsia="tr-TR"/>
              </w:rPr>
            </w:pPr>
            <w:r>
              <w:rPr>
                <w:rFonts w:ascii="Calibri" w:hAnsi="Calibri"/>
                <w:b/>
                <w:bCs/>
              </w:rPr>
              <w:t xml:space="preserve">                                          110.095.053    </w:t>
            </w:r>
          </w:p>
        </w:tc>
        <w:tc>
          <w:tcPr>
            <w:tcW w:w="7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Default="00FE7FEB" w:rsidP="00D816E6">
            <w:pPr>
              <w:spacing w:after="0" w:line="240" w:lineRule="auto"/>
              <w:jc w:val="center"/>
              <w:rPr>
                <w:rFonts w:eastAsia="Times New Roman"/>
                <w:b/>
                <w:lang w:eastAsia="tr-TR"/>
              </w:rPr>
            </w:pPr>
            <w:r>
              <w:rPr>
                <w:rFonts w:ascii="Calibri" w:hAnsi="Calibri"/>
                <w:b/>
                <w:bCs/>
              </w:rPr>
              <w:t>100</w:t>
            </w:r>
          </w:p>
        </w:tc>
      </w:tr>
    </w:tbl>
    <w:p w:rsidR="00FE7FEB" w:rsidRDefault="00FE7FEB" w:rsidP="00FE7FEB"/>
    <w:p w:rsidR="00216EDE" w:rsidRPr="00216EDE" w:rsidRDefault="00216EDE" w:rsidP="00216EDE"/>
    <w:p w:rsidR="00216EDE" w:rsidRDefault="00216EDE" w:rsidP="00FE7FEB">
      <w:pPr>
        <w:spacing w:after="120" w:line="240" w:lineRule="auto"/>
        <w:jc w:val="both"/>
      </w:pPr>
    </w:p>
    <w:tbl>
      <w:tblPr>
        <w:tblpPr w:leftFromText="141" w:rightFromText="141" w:vertAnchor="text" w:horzAnchor="margin" w:tblpY="324"/>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580"/>
        <w:gridCol w:w="2845"/>
        <w:gridCol w:w="1138"/>
        <w:gridCol w:w="2845"/>
        <w:gridCol w:w="1138"/>
      </w:tblGrid>
      <w:tr w:rsidR="00216EDE" w:rsidTr="002F5B3F">
        <w:trPr>
          <w:trHeight w:val="20"/>
        </w:trPr>
        <w:tc>
          <w:tcPr>
            <w:tcW w:w="828"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Default="00216EDE" w:rsidP="002F5B3F">
            <w:pPr>
              <w:spacing w:after="0" w:line="240" w:lineRule="auto"/>
              <w:jc w:val="center"/>
              <w:rPr>
                <w:rFonts w:eastAsia="Times New Roman"/>
                <w:b/>
                <w:bCs/>
                <w:color w:val="FFFFFF" w:themeColor="background1"/>
                <w:lang w:val="tr-TR" w:eastAsia="tr-TR"/>
              </w:rPr>
            </w:pPr>
            <w:r>
              <w:rPr>
                <w:rFonts w:eastAsia="Times New Roman"/>
                <w:b/>
                <w:bCs/>
                <w:color w:val="FFFFFF" w:themeColor="background1"/>
                <w:lang w:eastAsia="tr-TR"/>
              </w:rPr>
              <w:t>License Type</w:t>
            </w:r>
          </w:p>
        </w:tc>
        <w:tc>
          <w:tcPr>
            <w:tcW w:w="2086"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Default="00216EDE" w:rsidP="002F5B3F">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2017</w:t>
            </w:r>
          </w:p>
        </w:tc>
        <w:tc>
          <w:tcPr>
            <w:tcW w:w="2086"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216EDE" w:rsidRDefault="00216EDE" w:rsidP="002F5B3F">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2018</w:t>
            </w:r>
          </w:p>
        </w:tc>
      </w:tr>
      <w:tr w:rsidR="00216EDE" w:rsidTr="002F5B3F">
        <w:trPr>
          <w:trHeight w:val="20"/>
        </w:trPr>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216EDE" w:rsidRDefault="00216EDE" w:rsidP="002F5B3F">
            <w:pPr>
              <w:spacing w:after="0"/>
              <w:rPr>
                <w:rFonts w:eastAsia="Times New Roman"/>
                <w:b/>
                <w:bCs/>
                <w:color w:val="FFFFFF" w:themeColor="background1"/>
                <w:lang w:eastAsia="tr-TR"/>
              </w:rPr>
            </w:pP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Pr="009D1250" w:rsidRDefault="00216EDE" w:rsidP="002F5B3F">
            <w:pPr>
              <w:spacing w:after="0" w:line="240" w:lineRule="auto"/>
              <w:jc w:val="center"/>
              <w:rPr>
                <w:rFonts w:eastAsia="Times New Roman"/>
                <w:b/>
                <w:bCs/>
                <w:color w:val="FFFFFF" w:themeColor="background1"/>
                <w:lang w:eastAsia="tr-TR"/>
              </w:rPr>
            </w:pPr>
            <w:r w:rsidRPr="009D1250">
              <w:rPr>
                <w:rFonts w:eastAsia="Times New Roman"/>
                <w:b/>
                <w:bCs/>
                <w:color w:val="FFFFFF" w:themeColor="background1"/>
                <w:lang w:eastAsia="tr-TR"/>
              </w:rPr>
              <w:t>Amount of administrative fines (T</w:t>
            </w:r>
            <w:r>
              <w:rPr>
                <w:rFonts w:eastAsia="Times New Roman"/>
                <w:b/>
                <w:bCs/>
                <w:color w:val="FFFFFF" w:themeColor="background1"/>
                <w:lang w:eastAsia="tr-TR"/>
              </w:rPr>
              <w:t>L)</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Default="00216EDE" w:rsidP="002F5B3F">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Share (%)</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Pr="009D1250" w:rsidRDefault="00216EDE" w:rsidP="002F5B3F">
            <w:pPr>
              <w:spacing w:after="0" w:line="240" w:lineRule="auto"/>
              <w:jc w:val="center"/>
              <w:rPr>
                <w:rFonts w:eastAsia="Times New Roman"/>
                <w:b/>
                <w:bCs/>
                <w:color w:val="FFFFFF" w:themeColor="background1"/>
                <w:lang w:eastAsia="tr-TR"/>
              </w:rPr>
            </w:pPr>
            <w:r w:rsidRPr="009D1250">
              <w:rPr>
                <w:rFonts w:eastAsia="Times New Roman"/>
                <w:b/>
                <w:bCs/>
                <w:color w:val="FFFFFF" w:themeColor="background1"/>
                <w:lang w:eastAsia="tr-TR"/>
              </w:rPr>
              <w:t>Amount of administrative fines (T</w:t>
            </w:r>
            <w:r>
              <w:rPr>
                <w:rFonts w:eastAsia="Times New Roman"/>
                <w:b/>
                <w:bCs/>
                <w:color w:val="FFFFFF" w:themeColor="background1"/>
                <w:lang w:eastAsia="tr-TR"/>
              </w:rPr>
              <w:t>L)</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Default="00216EDE" w:rsidP="002F5B3F">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Share (%)</w:t>
            </w:r>
          </w:p>
        </w:tc>
      </w:tr>
      <w:tr w:rsidR="00216EDE" w:rsidTr="002F5B3F">
        <w:trPr>
          <w:trHeight w:val="20"/>
        </w:trPr>
        <w:tc>
          <w:tcPr>
            <w:tcW w:w="8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both"/>
              <w:rPr>
                <w:rFonts w:eastAsia="Times New Roman"/>
                <w:lang w:eastAsia="tr-TR"/>
              </w:rPr>
            </w:pPr>
            <w:r w:rsidRPr="00822B0A">
              <w:rPr>
                <w:rFonts w:eastAsia="Times New Roman"/>
                <w:color w:val="000000"/>
                <w:lang w:eastAsia="tr-TR"/>
              </w:rPr>
              <w:t>Vendorship</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right"/>
              <w:rPr>
                <w:rFonts w:eastAsia="Times New Roman"/>
                <w:lang w:eastAsia="tr-TR"/>
              </w:rPr>
            </w:pPr>
            <w:r>
              <w:rPr>
                <w:rFonts w:ascii="Calibri" w:hAnsi="Calibri"/>
              </w:rPr>
              <w:t xml:space="preserve">                                53.513.807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center"/>
              <w:rPr>
                <w:rFonts w:eastAsia="Times New Roman"/>
                <w:lang w:eastAsia="tr-TR"/>
              </w:rPr>
            </w:pPr>
            <w:r>
              <w:rPr>
                <w:rFonts w:ascii="Calibri" w:hAnsi="Calibri"/>
              </w:rPr>
              <w:t>86,51</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216EDE" w:rsidRDefault="00216EDE" w:rsidP="002F5B3F">
            <w:pPr>
              <w:spacing w:after="0" w:line="240" w:lineRule="auto"/>
              <w:jc w:val="right"/>
              <w:rPr>
                <w:rFonts w:eastAsia="Times New Roman"/>
                <w:lang w:eastAsia="tr-TR"/>
              </w:rPr>
            </w:pPr>
            <w:r>
              <w:rPr>
                <w:rFonts w:ascii="Calibri" w:hAnsi="Calibri"/>
              </w:rPr>
              <w:t xml:space="preserve">                                          106.625.778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216EDE" w:rsidRDefault="00216EDE" w:rsidP="002F5B3F">
            <w:pPr>
              <w:spacing w:after="0" w:line="240" w:lineRule="auto"/>
              <w:jc w:val="center"/>
              <w:rPr>
                <w:rFonts w:eastAsia="Times New Roman"/>
                <w:lang w:eastAsia="tr-TR"/>
              </w:rPr>
            </w:pPr>
            <w:r>
              <w:rPr>
                <w:rFonts w:ascii="Calibri" w:hAnsi="Calibri"/>
              </w:rPr>
              <w:t>96,85</w:t>
            </w:r>
          </w:p>
        </w:tc>
      </w:tr>
      <w:tr w:rsidR="00216EDE" w:rsidTr="002F5B3F">
        <w:trPr>
          <w:trHeight w:val="20"/>
        </w:trPr>
        <w:tc>
          <w:tcPr>
            <w:tcW w:w="8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both"/>
              <w:rPr>
                <w:rFonts w:eastAsia="Times New Roman"/>
                <w:lang w:eastAsia="tr-TR"/>
              </w:rPr>
            </w:pPr>
            <w:r w:rsidRPr="00822B0A">
              <w:rPr>
                <w:rFonts w:eastAsia="Times New Roman"/>
                <w:color w:val="000000"/>
                <w:lang w:eastAsia="tr-TR"/>
              </w:rPr>
              <w:t>Distributor</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right"/>
              <w:rPr>
                <w:rFonts w:eastAsia="Times New Roman"/>
                <w:lang w:eastAsia="tr-TR"/>
              </w:rPr>
            </w:pPr>
            <w:r>
              <w:rPr>
                <w:rFonts w:ascii="Calibri" w:hAnsi="Calibri"/>
              </w:rPr>
              <w:t xml:space="preserve">                                  7.925.093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center"/>
              <w:rPr>
                <w:rFonts w:eastAsia="Times New Roman"/>
                <w:lang w:eastAsia="tr-TR"/>
              </w:rPr>
            </w:pPr>
            <w:r>
              <w:rPr>
                <w:rFonts w:ascii="Calibri" w:hAnsi="Calibri"/>
              </w:rPr>
              <w:t>12,81</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216EDE" w:rsidRDefault="00216EDE" w:rsidP="002F5B3F">
            <w:pPr>
              <w:spacing w:after="0" w:line="240" w:lineRule="auto"/>
              <w:jc w:val="right"/>
              <w:rPr>
                <w:rFonts w:eastAsia="Times New Roman"/>
                <w:lang w:eastAsia="tr-TR"/>
              </w:rPr>
            </w:pPr>
            <w:r>
              <w:rPr>
                <w:rFonts w:ascii="Calibri" w:hAnsi="Calibri"/>
              </w:rPr>
              <w:t xml:space="preserve">                                              3.026.683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216EDE" w:rsidRDefault="00216EDE" w:rsidP="002F5B3F">
            <w:pPr>
              <w:spacing w:after="0" w:line="240" w:lineRule="auto"/>
              <w:jc w:val="center"/>
              <w:rPr>
                <w:rFonts w:eastAsia="Times New Roman"/>
                <w:lang w:eastAsia="tr-TR"/>
              </w:rPr>
            </w:pPr>
            <w:r>
              <w:rPr>
                <w:rFonts w:ascii="Calibri" w:hAnsi="Calibri"/>
              </w:rPr>
              <w:t>2,75</w:t>
            </w:r>
          </w:p>
        </w:tc>
      </w:tr>
      <w:tr w:rsidR="00216EDE" w:rsidTr="002F5B3F">
        <w:trPr>
          <w:trHeight w:val="242"/>
        </w:trPr>
        <w:tc>
          <w:tcPr>
            <w:tcW w:w="8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both"/>
              <w:rPr>
                <w:rFonts w:eastAsia="Times New Roman"/>
                <w:lang w:eastAsia="tr-TR"/>
              </w:rPr>
            </w:pPr>
            <w:r w:rsidRPr="00822B0A">
              <w:rPr>
                <w:rFonts w:eastAsia="Times New Roman"/>
                <w:color w:val="000000"/>
                <w:lang w:eastAsia="tr-TR"/>
              </w:rPr>
              <w:t>Storage</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right"/>
              <w:rPr>
                <w:rFonts w:eastAsia="Times New Roman"/>
                <w:lang w:eastAsia="tr-TR"/>
              </w:rPr>
            </w:pPr>
            <w:r>
              <w:rPr>
                <w:rFonts w:ascii="Calibri" w:hAnsi="Calibri"/>
              </w:rPr>
              <w:t xml:space="preserve">                                      419.205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center"/>
              <w:rPr>
                <w:rFonts w:eastAsia="Times New Roman"/>
                <w:lang w:eastAsia="tr-TR"/>
              </w:rPr>
            </w:pPr>
            <w:r>
              <w:rPr>
                <w:rFonts w:ascii="Calibri" w:hAnsi="Calibri"/>
              </w:rPr>
              <w:t>0,68</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216EDE" w:rsidRDefault="00216EDE" w:rsidP="002F5B3F">
            <w:pPr>
              <w:spacing w:after="0" w:line="240" w:lineRule="auto"/>
              <w:jc w:val="right"/>
              <w:rPr>
                <w:rFonts w:eastAsia="Times New Roman"/>
                <w:lang w:eastAsia="tr-TR"/>
              </w:rPr>
            </w:pPr>
            <w:r>
              <w:rPr>
                <w:rFonts w:ascii="Calibri" w:hAnsi="Calibri"/>
              </w:rPr>
              <w:t xml:space="preserve">                                                  442.592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216EDE" w:rsidRDefault="00216EDE" w:rsidP="002F5B3F">
            <w:pPr>
              <w:spacing w:after="0" w:line="240" w:lineRule="auto"/>
              <w:jc w:val="center"/>
              <w:rPr>
                <w:rFonts w:eastAsia="Times New Roman"/>
                <w:lang w:eastAsia="tr-TR"/>
              </w:rPr>
            </w:pPr>
            <w:r>
              <w:rPr>
                <w:rFonts w:ascii="Calibri" w:hAnsi="Calibri"/>
              </w:rPr>
              <w:t>0,40</w:t>
            </w:r>
          </w:p>
        </w:tc>
      </w:tr>
      <w:tr w:rsidR="00216EDE" w:rsidTr="002F5B3F">
        <w:trPr>
          <w:trHeight w:val="20"/>
        </w:trPr>
        <w:tc>
          <w:tcPr>
            <w:tcW w:w="8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both"/>
              <w:rPr>
                <w:rFonts w:eastAsia="Times New Roman"/>
                <w:b/>
                <w:bCs/>
                <w:lang w:eastAsia="tr-TR"/>
              </w:rPr>
            </w:pPr>
            <w:r>
              <w:rPr>
                <w:rFonts w:eastAsia="Times New Roman"/>
                <w:b/>
                <w:bCs/>
                <w:lang w:eastAsia="tr-TR"/>
              </w:rPr>
              <w:t>Total</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right"/>
              <w:rPr>
                <w:rFonts w:eastAsia="Times New Roman"/>
                <w:b/>
                <w:lang w:eastAsia="tr-TR"/>
              </w:rPr>
            </w:pPr>
            <w:r>
              <w:rPr>
                <w:rFonts w:ascii="Calibri" w:hAnsi="Calibri"/>
                <w:b/>
                <w:bCs/>
              </w:rPr>
              <w:t xml:space="preserve">                                61.858.105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16EDE" w:rsidRDefault="00216EDE" w:rsidP="002F5B3F">
            <w:pPr>
              <w:spacing w:after="0" w:line="240" w:lineRule="auto"/>
              <w:jc w:val="center"/>
              <w:rPr>
                <w:rFonts w:eastAsia="Times New Roman"/>
                <w:b/>
                <w:lang w:eastAsia="tr-TR"/>
              </w:rPr>
            </w:pPr>
            <w:r>
              <w:rPr>
                <w:rFonts w:ascii="Calibri" w:hAnsi="Calibri"/>
                <w:b/>
                <w:bCs/>
              </w:rPr>
              <w:t>100,00</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216EDE" w:rsidRDefault="00216EDE" w:rsidP="002F5B3F">
            <w:pPr>
              <w:spacing w:after="0" w:line="240" w:lineRule="auto"/>
              <w:jc w:val="right"/>
              <w:rPr>
                <w:rFonts w:eastAsia="Times New Roman"/>
                <w:b/>
                <w:lang w:eastAsia="tr-TR"/>
              </w:rPr>
            </w:pPr>
            <w:r>
              <w:rPr>
                <w:rFonts w:ascii="Calibri" w:hAnsi="Calibri"/>
                <w:b/>
                <w:bCs/>
              </w:rPr>
              <w:t xml:space="preserve">                                          110.095.053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216EDE" w:rsidRDefault="00216EDE" w:rsidP="002F5B3F">
            <w:pPr>
              <w:spacing w:after="0" w:line="240" w:lineRule="auto"/>
              <w:jc w:val="center"/>
              <w:rPr>
                <w:rFonts w:eastAsia="Times New Roman"/>
                <w:b/>
                <w:lang w:eastAsia="tr-TR"/>
              </w:rPr>
            </w:pPr>
            <w:r>
              <w:rPr>
                <w:rFonts w:ascii="Calibri" w:hAnsi="Calibri"/>
                <w:b/>
                <w:bCs/>
              </w:rPr>
              <w:t>100</w:t>
            </w:r>
          </w:p>
        </w:tc>
      </w:tr>
    </w:tbl>
    <w:p w:rsidR="00216EDE" w:rsidRPr="00216EDE" w:rsidRDefault="00216EDE" w:rsidP="00216EDE">
      <w:pPr>
        <w:pStyle w:val="Balk5"/>
        <w:rPr>
          <w:rStyle w:val="Gl"/>
          <w:b/>
          <w:bCs w:val="0"/>
        </w:rPr>
      </w:pPr>
      <w:bookmarkStart w:id="308" w:name="_Toc12958518"/>
      <w:r w:rsidRPr="00216EDE">
        <w:rPr>
          <w:rStyle w:val="Gl"/>
          <w:b/>
          <w:bCs w:val="0"/>
        </w:rPr>
        <w:t xml:space="preserve">Table 6.7: </w:t>
      </w:r>
      <w:bookmarkStart w:id="309" w:name="_Hlk12436121"/>
      <w:r w:rsidRPr="00216EDE">
        <w:rPr>
          <w:rStyle w:val="Gl"/>
          <w:b/>
          <w:bCs w:val="0"/>
        </w:rPr>
        <w:t>Dispersion of the administartive fines imposed in  2017-2018 in LPG market by license type</w:t>
      </w:r>
      <w:bookmarkEnd w:id="308"/>
      <w:bookmarkEnd w:id="309"/>
    </w:p>
    <w:p w:rsidR="00216EDE" w:rsidRPr="00216EDE" w:rsidRDefault="00216EDE" w:rsidP="00FE7FEB">
      <w:pPr>
        <w:spacing w:after="120" w:line="240" w:lineRule="auto"/>
        <w:jc w:val="both"/>
        <w:rPr>
          <w:lang w:val="tr-TR"/>
        </w:rPr>
      </w:pPr>
    </w:p>
    <w:p w:rsidR="00216EDE" w:rsidRDefault="00216EDE" w:rsidP="00FE7FEB">
      <w:pPr>
        <w:spacing w:after="120" w:line="240" w:lineRule="auto"/>
        <w:jc w:val="both"/>
      </w:pPr>
    </w:p>
    <w:p w:rsidR="00FE7FEB" w:rsidRPr="00822B0A" w:rsidRDefault="00FE7FEB" w:rsidP="00FE7FEB">
      <w:pPr>
        <w:spacing w:after="120" w:line="240" w:lineRule="auto"/>
        <w:jc w:val="both"/>
      </w:pPr>
      <w:r w:rsidRPr="00822B0A">
        <w:t>Administrative sanctions and administrative fines in the LPG market are applied for actions of operating without a license,</w:t>
      </w:r>
      <w:r>
        <w:t xml:space="preserve"> </w:t>
      </w:r>
      <w:r w:rsidRPr="00822B0A">
        <w:t xml:space="preserve">supplying products contrary to technical regulations, not employing a responsible manager and authorized personnel, keeping other distributor’s cylinders, not having compulsory insurance, having an apparatus for filling cylinders at the gas station and/or filling cylinders. </w:t>
      </w:r>
    </w:p>
    <w:p w:rsidR="00FE7FEB" w:rsidRDefault="00FE7FEB" w:rsidP="00FE7FEB"/>
    <w:p w:rsidR="00FE7FEB" w:rsidRPr="00216EDE" w:rsidRDefault="00FE7FEB" w:rsidP="00216EDE">
      <w:pPr>
        <w:pStyle w:val="Balk5"/>
      </w:pPr>
      <w:bookmarkStart w:id="310" w:name="_Toc12958519"/>
      <w:r w:rsidRPr="00216EDE">
        <w:t xml:space="preserve">Table 6.8: </w:t>
      </w:r>
      <w:r w:rsidRPr="00216EDE">
        <w:rPr>
          <w:rStyle w:val="Gl"/>
          <w:b/>
          <w:bCs w:val="0"/>
        </w:rPr>
        <w:t>Dispersion of administrative fines in LPG Market in 2017 by the subject matter</w:t>
      </w:r>
      <w:bookmarkEnd w:id="310"/>
    </w:p>
    <w:tbl>
      <w:tblPr>
        <w:tblW w:w="10120" w:type="dxa"/>
        <w:tblInd w:w="-7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300"/>
        <w:gridCol w:w="2080"/>
        <w:gridCol w:w="1960"/>
        <w:gridCol w:w="2120"/>
        <w:gridCol w:w="1660"/>
      </w:tblGrid>
      <w:tr w:rsidR="00FE7FE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val="tr-TR" w:eastAsia="tr-TR"/>
              </w:rPr>
            </w:pPr>
            <w:r>
              <w:rPr>
                <w:rFonts w:ascii="Calibri" w:eastAsia="Times New Roman" w:hAnsi="Calibri"/>
                <w:b/>
                <w:bCs/>
                <w:color w:val="FFFFFF"/>
                <w:lang w:val="tr-TR" w:eastAsia="tr-TR"/>
              </w:rPr>
              <w:t>Subject matter</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A7617E" w:rsidRDefault="00FE7FEB" w:rsidP="00D816E6">
            <w:pPr>
              <w:spacing w:after="0" w:line="240" w:lineRule="auto"/>
              <w:jc w:val="center"/>
              <w:rPr>
                <w:rFonts w:ascii="Calibri" w:eastAsia="Times New Roman" w:hAnsi="Calibri"/>
                <w:b/>
                <w:bCs/>
                <w:color w:val="FFFFFF"/>
                <w:lang w:eastAsia="tr-TR"/>
              </w:rPr>
            </w:pPr>
            <w:r w:rsidRPr="00822B0A">
              <w:rPr>
                <w:rFonts w:eastAsia="Times New Roman"/>
                <w:b/>
                <w:bCs/>
                <w:color w:val="FFFFFF" w:themeColor="background1"/>
                <w:lang w:eastAsia="tr-TR"/>
              </w:rPr>
              <w:t>No of imposed administartive fines</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A7617E" w:rsidRDefault="00FE7FEB" w:rsidP="00D816E6">
            <w:pPr>
              <w:spacing w:after="0" w:line="240" w:lineRule="auto"/>
              <w:jc w:val="center"/>
              <w:rPr>
                <w:rFonts w:ascii="Calibri" w:eastAsia="Times New Roman" w:hAnsi="Calibri"/>
                <w:b/>
                <w:bCs/>
                <w:color w:val="FFFFFF"/>
                <w:lang w:eastAsia="tr-TR"/>
              </w:rPr>
            </w:pPr>
            <w:r w:rsidRPr="00822B0A">
              <w:rPr>
                <w:rFonts w:eastAsia="Times New Roman"/>
                <w:b/>
                <w:bCs/>
                <w:color w:val="FFFFFF" w:themeColor="background1"/>
                <w:lang w:eastAsia="tr-TR"/>
              </w:rPr>
              <w:t>Amaount of administartive fine (TL)</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r>
      <w:tr w:rsidR="00FE7FE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rPr>
                <w:rFonts w:ascii="Calibri" w:eastAsia="Times New Roman" w:hAnsi="Calibri"/>
                <w:lang w:eastAsia="tr-TR"/>
              </w:rPr>
            </w:pPr>
            <w:r w:rsidRPr="00A7617E">
              <w:rPr>
                <w:rFonts w:ascii="Calibri" w:eastAsia="Times New Roman" w:hAnsi="Calibri"/>
                <w:lang w:eastAsia="tr-TR"/>
              </w:rPr>
              <w:t>Not to get permission license from the related institutions for autogas stations</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85</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11,42</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35.302.298</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32,74</w:t>
            </w:r>
          </w:p>
        </w:tc>
      </w:tr>
      <w:tr w:rsidR="00FE7FE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rPr>
                <w:rFonts w:ascii="Calibri" w:eastAsia="Times New Roman" w:hAnsi="Calibri"/>
                <w:lang w:eastAsia="tr-TR"/>
              </w:rPr>
            </w:pPr>
            <w:r w:rsidRPr="00A7617E">
              <w:rPr>
                <w:rFonts w:ascii="Calibri" w:eastAsia="Times New Roman" w:hAnsi="Calibri"/>
                <w:lang w:eastAsia="tr-TR"/>
              </w:rPr>
              <w:t>Rights and Obligations of the License</w:t>
            </w:r>
            <w:r>
              <w:rPr>
                <w:rFonts w:ascii="Calibri" w:eastAsia="Times New Roman" w:hAnsi="Calibri"/>
                <w:lang w:eastAsia="tr-TR"/>
              </w:rPr>
              <w:t xml:space="preserve"> holder</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204</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27,42</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26.572.754</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24,64</w:t>
            </w:r>
          </w:p>
        </w:tc>
      </w:tr>
      <w:tr w:rsidR="00FE7FE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rPr>
                <w:rFonts w:ascii="Calibri" w:eastAsia="Times New Roman" w:hAnsi="Calibri"/>
                <w:lang w:eastAsia="tr-TR"/>
              </w:rPr>
            </w:pPr>
            <w:r w:rsidRPr="00822B0A">
              <w:rPr>
                <w:rFonts w:eastAsia="Times New Roman"/>
                <w:color w:val="000000"/>
                <w:lang w:eastAsia="tr-TR"/>
              </w:rPr>
              <w:t>Not having a responsible manager in the station</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318</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42,74</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23.512.765</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21,81</w:t>
            </w:r>
          </w:p>
        </w:tc>
      </w:tr>
      <w:tr w:rsidR="00FE7FE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rPr>
                <w:rFonts w:ascii="Calibri" w:eastAsia="Times New Roman" w:hAnsi="Calibri"/>
                <w:lang w:eastAsia="tr-TR"/>
              </w:rPr>
            </w:pPr>
            <w:r w:rsidRPr="00822B0A">
              <w:rPr>
                <w:rFonts w:eastAsia="Times New Roman"/>
                <w:color w:val="000000"/>
                <w:lang w:eastAsia="tr-TR"/>
              </w:rPr>
              <w:t>Employing non-certificated staff</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119</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15,99</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11.236.526</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10,42</w:t>
            </w:r>
          </w:p>
        </w:tc>
      </w:tr>
      <w:tr w:rsidR="00FE7FE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Other</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18</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2,42</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11.203.338</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10,39</w:t>
            </w:r>
          </w:p>
        </w:tc>
      </w:tr>
      <w:tr w:rsidR="00FE7FE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both"/>
              <w:rPr>
                <w:rFonts w:ascii="Calibri" w:eastAsia="Times New Roman" w:hAnsi="Calibri"/>
                <w:b/>
                <w:bCs/>
                <w:lang w:eastAsia="tr-TR"/>
              </w:rPr>
            </w:pPr>
            <w:r>
              <w:rPr>
                <w:rFonts w:ascii="Calibri" w:eastAsia="Times New Roman" w:hAnsi="Calibri"/>
                <w:b/>
                <w:bCs/>
                <w:lang w:eastAsia="tr-TR"/>
              </w:rPr>
              <w:t>Total</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744</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100</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107.827.681</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100</w:t>
            </w:r>
          </w:p>
        </w:tc>
      </w:tr>
    </w:tbl>
    <w:p w:rsidR="00FE7FEB" w:rsidRDefault="00FE7FEB" w:rsidP="00FE7FEB">
      <w:pPr>
        <w:rPr>
          <w:b/>
          <w:bCs/>
        </w:rPr>
      </w:pPr>
    </w:p>
    <w:p w:rsidR="00FE7FEB" w:rsidRDefault="00FE7FEB" w:rsidP="00FE7FEB">
      <w:pPr>
        <w:rPr>
          <w:b/>
          <w:bCs/>
        </w:rPr>
      </w:pPr>
    </w:p>
    <w:p w:rsidR="00FE7FEB" w:rsidRPr="009E4A1E" w:rsidRDefault="00FE7FEB" w:rsidP="00AF1093">
      <w:pPr>
        <w:pStyle w:val="Balk1"/>
      </w:pPr>
      <w:bookmarkStart w:id="311" w:name="_Toc12956367"/>
      <w:r w:rsidRPr="009E4A1E">
        <w:t xml:space="preserve">7. </w:t>
      </w:r>
      <w:r>
        <w:t xml:space="preserve">  </w:t>
      </w:r>
      <w:r w:rsidRPr="009E4A1E">
        <w:t>EXPROPRIATION, LEASING and ESTABLSIHMENT OF EASEMENT RIGHT</w:t>
      </w:r>
      <w:bookmarkEnd w:id="311"/>
    </w:p>
    <w:p w:rsidR="00FE7FEB" w:rsidRPr="00822B0A" w:rsidRDefault="00FE7FEB" w:rsidP="00FE7FEB">
      <w:pPr>
        <w:autoSpaceDE w:val="0"/>
        <w:autoSpaceDN w:val="0"/>
        <w:adjustRightInd w:val="0"/>
        <w:spacing w:after="120" w:line="240" w:lineRule="auto"/>
        <w:jc w:val="both"/>
      </w:pPr>
      <w:r w:rsidRPr="00822B0A">
        <w:t>The procedures for procurement of immovables required for the establishment of generation and distribution facilities in the electricity market, transmission, distribution and storage facilities in the Natural Gas Market, refining undertakings, licensed storage facilities, transmission lines and processing facilities in the Petroleum Market are carried out by the Authority as per the Art.19 of Electricity Market Law, Art. 12 of the Natural Gas Market Law and Art. 11 of the Petroleum Market Law.  In addition, the Authority carries on works and procedures pursuant to Provisional Article 16 of the Electricity Market Law No. 6446.</w:t>
      </w:r>
    </w:p>
    <w:p w:rsidR="00FE7FEB" w:rsidRPr="00822B0A" w:rsidRDefault="00FE7FEB" w:rsidP="00FE7FEB">
      <w:pPr>
        <w:autoSpaceDE w:val="0"/>
        <w:autoSpaceDN w:val="0"/>
        <w:adjustRightInd w:val="0"/>
        <w:spacing w:after="120" w:line="240" w:lineRule="auto"/>
        <w:jc w:val="both"/>
      </w:pPr>
      <w:r w:rsidRPr="00822B0A">
        <w:t>In this context, the activities carried out in 2017 regarding the transfer procedures by applying the 30th article of Expropriation Act 2942, Expropriation for privately owned immovables, establishment or leasing of the easement for immovables under the property of the Treasury Treasury or the State, and the immovable property of other public institutions and organizations are as follows:</w:t>
      </w:r>
    </w:p>
    <w:p w:rsidR="00FE7FEB" w:rsidRPr="00822B0A" w:rsidRDefault="00FE7FEB" w:rsidP="00E37E90">
      <w:pPr>
        <w:pStyle w:val="ListeParagraf"/>
        <w:numPr>
          <w:ilvl w:val="0"/>
          <w:numId w:val="14"/>
        </w:numPr>
        <w:autoSpaceDE w:val="0"/>
        <w:autoSpaceDN w:val="0"/>
        <w:adjustRightInd w:val="0"/>
        <w:spacing w:after="120" w:line="276" w:lineRule="auto"/>
        <w:ind w:left="360"/>
        <w:jc w:val="both"/>
      </w:pPr>
      <w:r w:rsidRPr="00822B0A">
        <w:t>In 201</w:t>
      </w:r>
      <w:r>
        <w:t>8</w:t>
      </w:r>
      <w:r w:rsidRPr="00822B0A">
        <w:t xml:space="preserve">, a total of </w:t>
      </w:r>
      <w:r>
        <w:t>2.126</w:t>
      </w:r>
      <w:r w:rsidRPr="00822B0A">
        <w:t xml:space="preserve"> Board Decisions were taken regarding the provision of 1</w:t>
      </w:r>
      <w:r>
        <w:t>5.158</w:t>
      </w:r>
      <w:r w:rsidRPr="00822B0A">
        <w:t xml:space="preserve"> immovables required for the establishment of power plants:</w:t>
      </w:r>
    </w:p>
    <w:p w:rsidR="00FE7FEB" w:rsidRPr="00822B0A" w:rsidRDefault="00FE7FEB" w:rsidP="00E37E90">
      <w:pPr>
        <w:pStyle w:val="ListeParagraf"/>
        <w:numPr>
          <w:ilvl w:val="0"/>
          <w:numId w:val="15"/>
        </w:numPr>
        <w:autoSpaceDE w:val="0"/>
        <w:autoSpaceDN w:val="0"/>
        <w:adjustRightInd w:val="0"/>
        <w:spacing w:after="120" w:line="276" w:lineRule="auto"/>
        <w:jc w:val="both"/>
      </w:pPr>
      <w:r>
        <w:t>709</w:t>
      </w:r>
      <w:r w:rsidRPr="00822B0A">
        <w:t xml:space="preserve"> Board decisions were taken regarding the establishment of easement rights in the property of the Treasury Treasury or in </w:t>
      </w:r>
      <w:r>
        <w:t>4.505</w:t>
      </w:r>
      <w:r w:rsidRPr="00822B0A">
        <w:t xml:space="preserve"> of immovable properties under the jurisdiction and discretion of the State.</w:t>
      </w:r>
    </w:p>
    <w:p w:rsidR="00FE7FEB" w:rsidRPr="00822B0A" w:rsidRDefault="00FE7FEB" w:rsidP="00E37E90">
      <w:pPr>
        <w:pStyle w:val="ListeParagraf"/>
        <w:numPr>
          <w:ilvl w:val="0"/>
          <w:numId w:val="15"/>
        </w:numPr>
        <w:autoSpaceDE w:val="0"/>
        <w:autoSpaceDN w:val="0"/>
        <w:adjustRightInd w:val="0"/>
        <w:spacing w:after="120" w:line="276" w:lineRule="auto"/>
        <w:jc w:val="both"/>
      </w:pPr>
      <w:r w:rsidRPr="00822B0A">
        <w:t>3</w:t>
      </w:r>
      <w:r>
        <w:t>1</w:t>
      </w:r>
      <w:r w:rsidRPr="00822B0A">
        <w:t xml:space="preserve"> Board decisions were taken regarding the establishment of lease transactions in </w:t>
      </w:r>
      <w:r>
        <w:t>224</w:t>
      </w:r>
      <w:r w:rsidRPr="00822B0A">
        <w:t xml:space="preserve"> immovable properties owned by the Treasury Treasury or under the jurisdiction and discretion of the State.</w:t>
      </w:r>
    </w:p>
    <w:p w:rsidR="00FE7FEB" w:rsidRDefault="00FE7FEB" w:rsidP="00E37E90">
      <w:pPr>
        <w:pStyle w:val="ListeParagraf"/>
        <w:numPr>
          <w:ilvl w:val="0"/>
          <w:numId w:val="15"/>
        </w:numPr>
        <w:autoSpaceDE w:val="0"/>
        <w:autoSpaceDN w:val="0"/>
        <w:adjustRightInd w:val="0"/>
        <w:spacing w:after="120" w:line="276" w:lineRule="auto"/>
        <w:jc w:val="both"/>
      </w:pPr>
      <w:r>
        <w:t>508</w:t>
      </w:r>
      <w:r w:rsidRPr="00822B0A">
        <w:t xml:space="preserve"> Board decisions were taken regarding the implementation of the 30th article of Expropriation Law numbered 2942 in 5.</w:t>
      </w:r>
      <w:r>
        <w:t>426</w:t>
      </w:r>
      <w:r w:rsidRPr="00822B0A">
        <w:t xml:space="preserve"> immovable properties owned by other public institutions and organizations.</w:t>
      </w:r>
    </w:p>
    <w:p w:rsidR="00FE7FEB" w:rsidRDefault="00FE7FEB" w:rsidP="00E37E90">
      <w:pPr>
        <w:pStyle w:val="ListeParagraf"/>
        <w:numPr>
          <w:ilvl w:val="0"/>
          <w:numId w:val="15"/>
        </w:numPr>
        <w:autoSpaceDE w:val="0"/>
        <w:autoSpaceDN w:val="0"/>
        <w:adjustRightInd w:val="0"/>
        <w:spacing w:after="120" w:line="276" w:lineRule="auto"/>
        <w:jc w:val="both"/>
      </w:pPr>
      <w:r w:rsidRPr="00822B0A">
        <w:t>In accordance with the first paragraph of the 19th article of the Electricity Market Law No. 6446,</w:t>
      </w:r>
      <w:r w:rsidRPr="000B1593">
        <w:t xml:space="preserve"> </w:t>
      </w:r>
      <w:r>
        <w:t xml:space="preserve">a </w:t>
      </w:r>
      <w:r w:rsidRPr="000B1593">
        <w:t>total of 670 Public Interest Decisions were made, 33 of which were for urgent expropriation.</w:t>
      </w:r>
    </w:p>
    <w:p w:rsidR="00FE7FEB" w:rsidRDefault="00FE7FEB" w:rsidP="00E37E90">
      <w:pPr>
        <w:pStyle w:val="ListeParagraf"/>
        <w:numPr>
          <w:ilvl w:val="0"/>
          <w:numId w:val="15"/>
        </w:numPr>
        <w:autoSpaceDE w:val="0"/>
        <w:autoSpaceDN w:val="0"/>
        <w:adjustRightInd w:val="0"/>
        <w:spacing w:after="120" w:line="276" w:lineRule="auto"/>
        <w:jc w:val="both"/>
      </w:pPr>
      <w:r w:rsidRPr="0069631B">
        <w:t>In the scope of the Law No. 5346 on the Utilization of Renewable Energy Resources for the Purpose of Generating Electrical Energy, 20 Board Decisions have been taken with regard to the free use of 666 immovable properties in the private ownership of the Treasury in the reservoir area of the Treasury and / or under the provisions and savings of the State.</w:t>
      </w:r>
    </w:p>
    <w:p w:rsidR="00FE7FEB" w:rsidRDefault="00FE7FEB" w:rsidP="00E37E90">
      <w:pPr>
        <w:pStyle w:val="ListeParagraf"/>
        <w:numPr>
          <w:ilvl w:val="0"/>
          <w:numId w:val="15"/>
        </w:numPr>
        <w:autoSpaceDE w:val="0"/>
        <w:autoSpaceDN w:val="0"/>
        <w:adjustRightInd w:val="0"/>
        <w:spacing w:after="120" w:line="276" w:lineRule="auto"/>
        <w:jc w:val="both"/>
      </w:pPr>
      <w:r>
        <w:t>Moreover</w:t>
      </w:r>
      <w:r w:rsidRPr="007D1D36">
        <w:t>; 102 abandonment, cancellation or amendment decisions have been taken regarding 542 immovable properties. Within the scope of Articles 13 and 14 of the Soil Conservation and Land Use Law No. 5403</w:t>
      </w:r>
      <w:r>
        <w:t xml:space="preserve"> the decision to use agricultural lands and agricultural lands in large plains outside the scope of the application was initiated in 2018 and </w:t>
      </w:r>
      <w:r w:rsidRPr="007D1D36">
        <w:t xml:space="preserve">a total of 40 Board </w:t>
      </w:r>
      <w:r>
        <w:t>decisions</w:t>
      </w:r>
      <w:r w:rsidRPr="007D1D36">
        <w:t xml:space="preserve"> </w:t>
      </w:r>
      <w:r>
        <w:t>have been taken in this context.</w:t>
      </w:r>
      <w:r w:rsidRPr="00C37226">
        <w:t xml:space="preserve"> A total of 4 Board </w:t>
      </w:r>
      <w:r>
        <w:t>d</w:t>
      </w:r>
      <w:r w:rsidRPr="00C37226">
        <w:t>ecisions have been taken regarding general issues.</w:t>
      </w:r>
    </w:p>
    <w:p w:rsidR="00FE7FEB" w:rsidRPr="000B1593" w:rsidRDefault="00FE7FEB" w:rsidP="00216EDE">
      <w:pPr>
        <w:pStyle w:val="Balk5"/>
      </w:pPr>
      <w:bookmarkStart w:id="312" w:name="_Toc12958520"/>
      <w:r w:rsidRPr="000B1593">
        <w:t>Figure 7.1: Distribution of Board Decisions Regarding the Issues Within the Areas of Task of the Expropriation Department in 2018</w:t>
      </w:r>
      <w:bookmarkEnd w:id="312"/>
    </w:p>
    <w:p w:rsidR="00FE7FEB" w:rsidRDefault="00FE7FEB" w:rsidP="00AF1093">
      <w:pPr>
        <w:ind w:left="720"/>
      </w:pPr>
      <w:r>
        <w:t xml:space="preserve">         </w:t>
      </w:r>
      <w:r>
        <w:rPr>
          <w:lang w:val="tr-TR" w:eastAsia="tr-TR"/>
        </w:rPr>
        <w:drawing>
          <wp:inline distT="0" distB="0" distL="0" distR="0" wp14:anchorId="3808DE03" wp14:editId="4739E8D0">
            <wp:extent cx="4739005" cy="3037205"/>
            <wp:effectExtent l="0" t="0" r="444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9005" cy="3037205"/>
                    </a:xfrm>
                    <a:prstGeom prst="rect">
                      <a:avLst/>
                    </a:prstGeom>
                    <a:noFill/>
                    <a:ln>
                      <a:noFill/>
                    </a:ln>
                  </pic:spPr>
                </pic:pic>
              </a:graphicData>
            </a:graphic>
          </wp:inline>
        </w:drawing>
      </w:r>
    </w:p>
    <w:p w:rsidR="00FE7FEB" w:rsidRDefault="00FE7FEB" w:rsidP="00E37E90">
      <w:pPr>
        <w:pStyle w:val="ListeParagraf"/>
        <w:numPr>
          <w:ilvl w:val="0"/>
          <w:numId w:val="14"/>
        </w:numPr>
        <w:autoSpaceDE w:val="0"/>
        <w:autoSpaceDN w:val="0"/>
        <w:adjustRightInd w:val="0"/>
        <w:spacing w:after="120" w:line="240" w:lineRule="auto"/>
        <w:ind w:left="360"/>
        <w:jc w:val="both"/>
      </w:pPr>
      <w:r w:rsidRPr="00822B0A">
        <w:t>In 201</w:t>
      </w:r>
      <w:r>
        <w:t>8</w:t>
      </w:r>
      <w:r w:rsidRPr="00822B0A">
        <w:t xml:space="preserve">, to be used in the project works of licensed entities, </w:t>
      </w:r>
      <w:r>
        <w:t>46</w:t>
      </w:r>
      <w:r w:rsidRPr="00822B0A">
        <w:t xml:space="preserve"> printed maps with 1/25 000 scale from the General Command of Map, </w:t>
      </w:r>
      <w:r>
        <w:t xml:space="preserve">87 </w:t>
      </w:r>
      <w:r w:rsidRPr="00822B0A">
        <w:t xml:space="preserve"> numerical rasters </w:t>
      </w:r>
      <w:r>
        <w:t xml:space="preserve">map </w:t>
      </w:r>
      <w:r w:rsidRPr="00822B0A">
        <w:t xml:space="preserve">with 1/25 000 scale, 198 vector maps with 1/25 000 scale, 500 digital aerial photographs, 3 aerial photo DVDs and 75 digital elevation modeling were procured. </w:t>
      </w:r>
    </w:p>
    <w:p w:rsidR="00FE7FEB" w:rsidRPr="00822B0A" w:rsidRDefault="00FE7FEB" w:rsidP="00E37E90">
      <w:pPr>
        <w:pStyle w:val="ListeParagraf"/>
        <w:numPr>
          <w:ilvl w:val="0"/>
          <w:numId w:val="14"/>
        </w:numPr>
        <w:autoSpaceDE w:val="0"/>
        <w:autoSpaceDN w:val="0"/>
        <w:adjustRightInd w:val="0"/>
        <w:spacing w:after="120" w:line="276" w:lineRule="auto"/>
        <w:ind w:left="360"/>
        <w:jc w:val="both"/>
      </w:pPr>
      <w:bookmarkStart w:id="313" w:name="_Hlk12364178"/>
      <w:r w:rsidRPr="00822B0A">
        <w:t>In order to determine the ways and methods to be followed during the execution of the works and transactions that are going to take place in the Department of Expropriation in accordance with the legislation and the technique and to ensure that the duties, powers and responsibilities are carried out efficiently and continuously and maintained in a regular manner, "Principles and procedures for the transactions of procurement of Immovables  Executed by the Energy Market Regulatory Authority” wer</w:t>
      </w:r>
      <w:r>
        <w:t xml:space="preserve">e </w:t>
      </w:r>
      <w:r w:rsidRPr="00822B0A">
        <w:t>accepted by the Energy Market Regulatory Board Decision  No. 7651 dated 18/01/2018</w:t>
      </w:r>
      <w:bookmarkEnd w:id="313"/>
      <w:r>
        <w:t xml:space="preserve"> and </w:t>
      </w:r>
      <w:r w:rsidRPr="00BA025F">
        <w:t>Entered into force by being published in the Official Gazette dated 02.02.2018 and numbered 30320.</w:t>
      </w:r>
      <w:r w:rsidRPr="00585473">
        <w:t xml:space="preserve"> The information and documents stipulated in the said procedures and principles have been determined and disclosed within the scope of "List of Information and Documents to be Submitted in Applications for the Supply of Immovable Property" and decided to be published on the website of </w:t>
      </w:r>
      <w:r>
        <w:t>EMRA</w:t>
      </w:r>
      <w:r w:rsidRPr="00585473">
        <w:t xml:space="preserve"> upon the Board's decision dated 01.03.2018 and numbered 7720-15.</w:t>
      </w:r>
      <w:r w:rsidRPr="00506200">
        <w:t xml:space="preserve"> Currently, both documents are published in the sections of </w:t>
      </w:r>
      <w:r>
        <w:t>EMRA’s</w:t>
      </w:r>
      <w:r w:rsidRPr="00506200">
        <w:t xml:space="preserve"> website related to electricity, natural gas and oil markets.</w:t>
      </w:r>
    </w:p>
    <w:p w:rsidR="00FE7FEB" w:rsidRDefault="00FE7FEB" w:rsidP="00E37E90">
      <w:pPr>
        <w:pStyle w:val="ListeParagraf"/>
        <w:numPr>
          <w:ilvl w:val="0"/>
          <w:numId w:val="14"/>
        </w:numPr>
        <w:autoSpaceDE w:val="0"/>
        <w:autoSpaceDN w:val="0"/>
        <w:adjustRightInd w:val="0"/>
        <w:spacing w:after="120" w:line="276" w:lineRule="auto"/>
        <w:ind w:left="360"/>
        <w:jc w:val="both"/>
      </w:pPr>
      <w:r w:rsidRPr="00822B0A">
        <w:t xml:space="preserve">In order to be used in the execution of the tasks and processes that fall under the task of the Department of Expropriation, the studies for the acquisition of a CAD based computer software program were </w:t>
      </w:r>
      <w:r w:rsidRPr="004B3C02">
        <w:t>started to be used actively.</w:t>
      </w:r>
    </w:p>
    <w:p w:rsidR="00FE7FEB" w:rsidRDefault="00FE7FEB" w:rsidP="00FE7FEB">
      <w:pPr>
        <w:spacing w:after="120" w:line="240" w:lineRule="auto"/>
        <w:jc w:val="both"/>
      </w:pPr>
    </w:p>
    <w:p w:rsidR="00FE7FEB" w:rsidRPr="00760FF4" w:rsidRDefault="00FE7FEB" w:rsidP="00AF1093">
      <w:pPr>
        <w:pStyle w:val="Balk1"/>
      </w:pPr>
      <w:bookmarkStart w:id="314" w:name="_Toc12956368"/>
      <w:r>
        <w:t>8.</w:t>
      </w:r>
      <w:r>
        <w:tab/>
        <w:t>LEGAL WORKS</w:t>
      </w:r>
      <w:bookmarkEnd w:id="314"/>
    </w:p>
    <w:p w:rsidR="00FE7FEB" w:rsidRPr="00760FF4" w:rsidRDefault="00FE7FEB" w:rsidP="00AF1093">
      <w:pPr>
        <w:pStyle w:val="Balk2"/>
      </w:pPr>
      <w:bookmarkStart w:id="315" w:name="_Toc12956369"/>
      <w:r>
        <w:t>8.1.</w:t>
      </w:r>
      <w:r w:rsidRPr="00760FF4">
        <w:t>Litigation Procedures</w:t>
      </w:r>
      <w:bookmarkEnd w:id="315"/>
    </w:p>
    <w:p w:rsidR="00FE7FEB" w:rsidRPr="00822B0A" w:rsidRDefault="00FE7FEB" w:rsidP="00FE7FEB">
      <w:pPr>
        <w:autoSpaceDE w:val="0"/>
        <w:autoSpaceDN w:val="0"/>
        <w:adjustRightInd w:val="0"/>
        <w:spacing w:after="120" w:line="240" w:lineRule="auto"/>
        <w:jc w:val="both"/>
        <w:rPr>
          <w:color w:val="000000" w:themeColor="text1"/>
        </w:rPr>
      </w:pPr>
      <w:r w:rsidRPr="00822B0A">
        <w:rPr>
          <w:color w:val="000000" w:themeColor="text1"/>
        </w:rPr>
        <w:t>The procedures of litigation to which the Authority is a party, are executed as per the “Regulation on Principles and Procedures on Litigations to which the Energy Market Regulatory Authority is a Party” adopted by the Board Decision dated 11.9.2003 and numbered 207/51.</w:t>
      </w:r>
    </w:p>
    <w:p w:rsidR="00FE7FEB" w:rsidRDefault="00FE7FEB" w:rsidP="00FE7FEB"/>
    <w:p w:rsidR="00FE7FEB" w:rsidRPr="00216EDE" w:rsidRDefault="00FE7FEB" w:rsidP="00216EDE">
      <w:pPr>
        <w:pStyle w:val="Balk5"/>
      </w:pPr>
      <w:bookmarkStart w:id="316" w:name="_Hlk12362930"/>
      <w:r w:rsidRPr="00216EDE">
        <w:rPr>
          <w:rStyle w:val="Gl"/>
          <w:b/>
          <w:bCs w:val="0"/>
        </w:rPr>
        <w:t xml:space="preserve">       </w:t>
      </w:r>
      <w:bookmarkStart w:id="317" w:name="_Toc12958521"/>
      <w:r w:rsidRPr="00216EDE">
        <w:rPr>
          <w:rStyle w:val="Gl"/>
          <w:b/>
          <w:bCs w:val="0"/>
        </w:rPr>
        <w:t>Table 8.1: Total number of cases of which EMRA is a party as of the end of 2018 by sectors</w:t>
      </w:r>
      <w:bookmarkEnd w:id="316"/>
      <w:bookmarkEnd w:id="317"/>
    </w:p>
    <w:tbl>
      <w:tblPr>
        <w:tblW w:w="3663" w:type="pct"/>
        <w:tblInd w:w="1360" w:type="dxa"/>
        <w:tblCellMar>
          <w:left w:w="70" w:type="dxa"/>
          <w:right w:w="70" w:type="dxa"/>
        </w:tblCellMar>
        <w:tblLook w:val="04A0" w:firstRow="1" w:lastRow="0" w:firstColumn="1" w:lastColumn="0" w:noHBand="0" w:noVBand="1"/>
      </w:tblPr>
      <w:tblGrid>
        <w:gridCol w:w="2152"/>
        <w:gridCol w:w="2151"/>
        <w:gridCol w:w="2690"/>
      </w:tblGrid>
      <w:tr w:rsidR="00FE7FEB" w:rsidTr="00216EDE">
        <w:trPr>
          <w:trHeight w:hRule="exact" w:val="315"/>
        </w:trPr>
        <w:tc>
          <w:tcPr>
            <w:tcW w:w="1539"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val="tr-TR" w:eastAsia="tr-TR"/>
              </w:rPr>
            </w:pPr>
            <w:r>
              <w:rPr>
                <w:rFonts w:ascii="Calibri" w:eastAsia="Times New Roman" w:hAnsi="Calibri"/>
                <w:b/>
                <w:bCs/>
                <w:color w:val="FFFFFF" w:themeColor="background1"/>
                <w:lang w:eastAsia="tr-TR"/>
              </w:rPr>
              <w:t>C</w:t>
            </w:r>
            <w:r>
              <w:rPr>
                <w:rFonts w:ascii="Calibri" w:eastAsia="Times New Roman" w:hAnsi="Calibri"/>
                <w:color w:val="FFFFFF" w:themeColor="background1"/>
                <w:lang w:eastAsia="tr-TR"/>
              </w:rPr>
              <w:t>ase Type</w:t>
            </w:r>
          </w:p>
        </w:tc>
        <w:tc>
          <w:tcPr>
            <w:tcW w:w="1538"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eastAsia="tr-TR"/>
              </w:rPr>
            </w:pPr>
            <w:r>
              <w:rPr>
                <w:rFonts w:ascii="Calibri" w:eastAsia="Times New Roman" w:hAnsi="Calibri"/>
                <w:b/>
                <w:bCs/>
                <w:color w:val="FFFFFF" w:themeColor="background1"/>
                <w:lang w:eastAsia="tr-TR"/>
              </w:rPr>
              <w:t>No of Case</w:t>
            </w:r>
          </w:p>
        </w:tc>
        <w:tc>
          <w:tcPr>
            <w:tcW w:w="1923"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eastAsia="tr-TR"/>
              </w:rPr>
            </w:pPr>
            <w:r>
              <w:rPr>
                <w:rFonts w:ascii="Calibri" w:eastAsia="Times New Roman" w:hAnsi="Calibri"/>
                <w:b/>
                <w:bCs/>
                <w:color w:val="FFFFFF" w:themeColor="background1"/>
                <w:lang w:eastAsia="tr-TR"/>
              </w:rPr>
              <w:t>Share(%)</w:t>
            </w:r>
          </w:p>
        </w:tc>
      </w:tr>
      <w:tr w:rsidR="00FE7FEB" w:rsidTr="00216EDE">
        <w:trPr>
          <w:trHeight w:hRule="exact" w:val="315"/>
        </w:trPr>
        <w:tc>
          <w:tcPr>
            <w:tcW w:w="1539"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color w:val="000000" w:themeColor="text1"/>
                <w:lang w:eastAsia="tr-TR"/>
              </w:rPr>
              <w:t>Criminal Cases</w:t>
            </w:r>
          </w:p>
        </w:tc>
        <w:tc>
          <w:tcPr>
            <w:tcW w:w="1538"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30.514</w:t>
            </w:r>
          </w:p>
        </w:tc>
        <w:tc>
          <w:tcPr>
            <w:tcW w:w="192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56,61</w:t>
            </w:r>
          </w:p>
        </w:tc>
      </w:tr>
      <w:tr w:rsidR="00FE7FEB" w:rsidTr="00216EDE">
        <w:trPr>
          <w:trHeight w:hRule="exact" w:val="315"/>
        </w:trPr>
        <w:tc>
          <w:tcPr>
            <w:tcW w:w="1539"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Administrative Cases</w:t>
            </w:r>
          </w:p>
        </w:tc>
        <w:tc>
          <w:tcPr>
            <w:tcW w:w="1538"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18.186</w:t>
            </w:r>
          </w:p>
        </w:tc>
        <w:tc>
          <w:tcPr>
            <w:tcW w:w="192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33,74</w:t>
            </w:r>
          </w:p>
        </w:tc>
      </w:tr>
      <w:tr w:rsidR="00FE7FEB" w:rsidTr="00216EDE">
        <w:trPr>
          <w:trHeight w:hRule="exact" w:val="315"/>
        </w:trPr>
        <w:tc>
          <w:tcPr>
            <w:tcW w:w="1539"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Legal Cases</w:t>
            </w:r>
          </w:p>
        </w:tc>
        <w:tc>
          <w:tcPr>
            <w:tcW w:w="1538"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5.200</w:t>
            </w:r>
          </w:p>
        </w:tc>
        <w:tc>
          <w:tcPr>
            <w:tcW w:w="192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9,65</w:t>
            </w:r>
          </w:p>
        </w:tc>
      </w:tr>
      <w:tr w:rsidR="00FE7FEB" w:rsidTr="00216EDE">
        <w:trPr>
          <w:trHeight w:hRule="exact" w:val="315"/>
        </w:trPr>
        <w:tc>
          <w:tcPr>
            <w:tcW w:w="1539"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color w:val="000000" w:themeColor="text1"/>
                <w:lang w:eastAsia="tr-TR"/>
              </w:rPr>
              <w:t>TOTAL</w:t>
            </w:r>
          </w:p>
        </w:tc>
        <w:tc>
          <w:tcPr>
            <w:tcW w:w="1538"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color w:val="000000" w:themeColor="text1"/>
                <w:lang w:eastAsia="tr-TR"/>
              </w:rPr>
              <w:t>53.900</w:t>
            </w:r>
          </w:p>
        </w:tc>
        <w:tc>
          <w:tcPr>
            <w:tcW w:w="1923"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color w:val="000000" w:themeColor="text1"/>
                <w:lang w:eastAsia="tr-TR"/>
              </w:rPr>
              <w:t>100</w:t>
            </w:r>
          </w:p>
        </w:tc>
      </w:tr>
    </w:tbl>
    <w:p w:rsidR="00FE7FEB" w:rsidRDefault="00FE7FEB" w:rsidP="00FE7FEB"/>
    <w:p w:rsidR="00FE7FEB" w:rsidRPr="00216EDE" w:rsidRDefault="00FE7FEB" w:rsidP="00216EDE">
      <w:pPr>
        <w:pStyle w:val="Balk5"/>
      </w:pPr>
      <w:bookmarkStart w:id="318" w:name="_Toc12958522"/>
      <w:r w:rsidRPr="00216EDE">
        <w:t xml:space="preserve">Table 8.2: </w:t>
      </w:r>
      <w:r w:rsidRPr="00216EDE">
        <w:rPr>
          <w:rStyle w:val="Gl"/>
          <w:b/>
          <w:bCs w:val="0"/>
        </w:rPr>
        <w:t>Dispersion of cases of which EMRA is a party as of the end of 2018 by sectors</w:t>
      </w:r>
      <w:bookmarkEnd w:id="318"/>
    </w:p>
    <w:tbl>
      <w:tblPr>
        <w:tblW w:w="4226" w:type="pct"/>
        <w:tblInd w:w="779" w:type="dxa"/>
        <w:tblCellMar>
          <w:left w:w="70" w:type="dxa"/>
          <w:right w:w="70" w:type="dxa"/>
        </w:tblCellMar>
        <w:tblLook w:val="04A0" w:firstRow="1" w:lastRow="0" w:firstColumn="1" w:lastColumn="0" w:noHBand="0" w:noVBand="1"/>
      </w:tblPr>
      <w:tblGrid>
        <w:gridCol w:w="3132"/>
        <w:gridCol w:w="2382"/>
        <w:gridCol w:w="2554"/>
      </w:tblGrid>
      <w:tr w:rsidR="00FE7FEB" w:rsidTr="00D816E6">
        <w:trPr>
          <w:trHeight w:hRule="exact" w:val="315"/>
        </w:trPr>
        <w:tc>
          <w:tcPr>
            <w:tcW w:w="1941"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val="tr-TR" w:eastAsia="tr-TR"/>
              </w:rPr>
            </w:pPr>
            <w:r>
              <w:rPr>
                <w:rFonts w:ascii="Calibri" w:eastAsia="Times New Roman" w:hAnsi="Calibri"/>
                <w:b/>
                <w:bCs/>
                <w:color w:val="FFFFFF" w:themeColor="background1"/>
                <w:lang w:eastAsia="tr-TR"/>
              </w:rPr>
              <w:t>Sector</w:t>
            </w:r>
          </w:p>
        </w:tc>
        <w:tc>
          <w:tcPr>
            <w:tcW w:w="1476"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eastAsia="tr-TR"/>
              </w:rPr>
            </w:pPr>
            <w:r>
              <w:rPr>
                <w:rFonts w:ascii="Calibri" w:eastAsia="Times New Roman" w:hAnsi="Calibri"/>
                <w:b/>
                <w:bCs/>
                <w:color w:val="FFFFFF" w:themeColor="background1"/>
                <w:lang w:eastAsia="tr-TR"/>
              </w:rPr>
              <w:t>No of Cases</w:t>
            </w:r>
          </w:p>
        </w:tc>
        <w:tc>
          <w:tcPr>
            <w:tcW w:w="1583"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eastAsia="tr-TR"/>
              </w:rPr>
            </w:pPr>
            <w:r>
              <w:rPr>
                <w:rFonts w:ascii="Calibri" w:eastAsia="Times New Roman" w:hAnsi="Calibri"/>
                <w:b/>
                <w:bCs/>
                <w:color w:val="FFFFFF" w:themeColor="background1"/>
                <w:lang w:eastAsia="tr-TR"/>
              </w:rPr>
              <w:t>Share(%)</w:t>
            </w:r>
          </w:p>
        </w:tc>
      </w:tr>
      <w:tr w:rsidR="00FE7FE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sidRPr="00822B0A">
              <w:rPr>
                <w:rFonts w:eastAsia="Times New Roman"/>
                <w:color w:val="000000" w:themeColor="text1"/>
                <w:lang w:eastAsia="tr-TR"/>
              </w:rPr>
              <w:t>Electricity</w:t>
            </w:r>
          </w:p>
        </w:tc>
        <w:tc>
          <w:tcPr>
            <w:tcW w:w="1476"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7.210</w:t>
            </w:r>
          </w:p>
        </w:tc>
        <w:tc>
          <w:tcPr>
            <w:tcW w:w="158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13,38</w:t>
            </w:r>
          </w:p>
        </w:tc>
      </w:tr>
      <w:tr w:rsidR="00FE7FE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sidRPr="00822B0A">
              <w:rPr>
                <w:rFonts w:eastAsia="Times New Roman"/>
                <w:color w:val="000000" w:themeColor="text1"/>
                <w:lang w:eastAsia="tr-TR"/>
              </w:rPr>
              <w:t>Natural Gas</w:t>
            </w:r>
          </w:p>
        </w:tc>
        <w:tc>
          <w:tcPr>
            <w:tcW w:w="1476"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475</w:t>
            </w:r>
          </w:p>
        </w:tc>
        <w:tc>
          <w:tcPr>
            <w:tcW w:w="158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0,88</w:t>
            </w:r>
          </w:p>
        </w:tc>
      </w:tr>
      <w:tr w:rsidR="00FE7FE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color w:val="000000" w:themeColor="text1"/>
                <w:lang w:eastAsia="tr-TR"/>
              </w:rPr>
              <w:t>Petroleum</w:t>
            </w:r>
          </w:p>
        </w:tc>
        <w:tc>
          <w:tcPr>
            <w:tcW w:w="1476"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43.154</w:t>
            </w:r>
          </w:p>
        </w:tc>
        <w:tc>
          <w:tcPr>
            <w:tcW w:w="158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80,06</w:t>
            </w:r>
          </w:p>
        </w:tc>
      </w:tr>
      <w:tr w:rsidR="00FE7FE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bCs/>
                <w:color w:val="000000" w:themeColor="text1"/>
                <w:lang w:eastAsia="tr-TR"/>
              </w:rPr>
              <w:t>LPG</w:t>
            </w:r>
          </w:p>
        </w:tc>
        <w:tc>
          <w:tcPr>
            <w:tcW w:w="1476"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bCs/>
                <w:color w:val="000000" w:themeColor="text1"/>
                <w:lang w:eastAsia="tr-TR"/>
              </w:rPr>
              <w:t>1.837</w:t>
            </w:r>
          </w:p>
        </w:tc>
        <w:tc>
          <w:tcPr>
            <w:tcW w:w="158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3,41</w:t>
            </w:r>
          </w:p>
        </w:tc>
      </w:tr>
      <w:tr w:rsidR="00FE7FE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sidRPr="00822B0A">
              <w:rPr>
                <w:rFonts w:eastAsia="Times New Roman"/>
                <w:bCs/>
                <w:color w:val="000000" w:themeColor="text1"/>
                <w:lang w:eastAsia="tr-TR"/>
              </w:rPr>
              <w:t>Expropriation</w:t>
            </w:r>
          </w:p>
        </w:tc>
        <w:tc>
          <w:tcPr>
            <w:tcW w:w="1476"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bCs/>
                <w:color w:val="000000" w:themeColor="text1"/>
                <w:lang w:eastAsia="tr-TR"/>
              </w:rPr>
              <w:t>580</w:t>
            </w:r>
          </w:p>
        </w:tc>
        <w:tc>
          <w:tcPr>
            <w:tcW w:w="158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1,08</w:t>
            </w:r>
          </w:p>
        </w:tc>
      </w:tr>
      <w:tr w:rsidR="00FE7FE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Other</w:t>
            </w:r>
          </w:p>
        </w:tc>
        <w:tc>
          <w:tcPr>
            <w:tcW w:w="1476"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bCs/>
                <w:color w:val="000000" w:themeColor="text1"/>
                <w:lang w:eastAsia="tr-TR"/>
              </w:rPr>
              <w:t>644</w:t>
            </w:r>
          </w:p>
        </w:tc>
        <w:tc>
          <w:tcPr>
            <w:tcW w:w="1583"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1,19</w:t>
            </w:r>
          </w:p>
        </w:tc>
      </w:tr>
      <w:tr w:rsidR="00FE7FE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color w:val="000000" w:themeColor="text1"/>
                <w:lang w:eastAsia="tr-TR"/>
              </w:rPr>
              <w:t>TOTAL</w:t>
            </w:r>
          </w:p>
        </w:tc>
        <w:tc>
          <w:tcPr>
            <w:tcW w:w="1476"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color w:val="000000" w:themeColor="text1"/>
                <w:lang w:eastAsia="tr-TR"/>
              </w:rPr>
              <w:t>53.900</w:t>
            </w:r>
          </w:p>
        </w:tc>
        <w:tc>
          <w:tcPr>
            <w:tcW w:w="1583"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color w:val="000000" w:themeColor="text1"/>
                <w:lang w:eastAsia="tr-TR"/>
              </w:rPr>
              <w:t>100</w:t>
            </w:r>
          </w:p>
        </w:tc>
      </w:tr>
    </w:tbl>
    <w:p w:rsidR="00FE7FEB" w:rsidRDefault="00FE7FEB" w:rsidP="00FE7FEB"/>
    <w:p w:rsidR="00FE7FEB" w:rsidRPr="00216EDE" w:rsidRDefault="00FE7FEB" w:rsidP="00216EDE">
      <w:pPr>
        <w:pStyle w:val="Balk5"/>
      </w:pPr>
      <w:bookmarkStart w:id="319" w:name="_Toc12958523"/>
      <w:r w:rsidRPr="00216EDE">
        <w:t xml:space="preserve">Table 8.3: </w:t>
      </w:r>
      <w:r w:rsidRPr="00216EDE">
        <w:rPr>
          <w:rStyle w:val="Gl"/>
          <w:b/>
          <w:bCs w:val="0"/>
        </w:rPr>
        <w:t>Dispersion of the cases of which EMRA is a party in 2018</w:t>
      </w:r>
      <w:bookmarkEnd w:id="319"/>
    </w:p>
    <w:tbl>
      <w:tblPr>
        <w:tblW w:w="3310" w:type="pct"/>
        <w:tblInd w:w="1360" w:type="dxa"/>
        <w:tblCellMar>
          <w:left w:w="70" w:type="dxa"/>
          <w:right w:w="70" w:type="dxa"/>
        </w:tblCellMar>
        <w:tblLook w:val="04A0" w:firstRow="1" w:lastRow="0" w:firstColumn="1" w:lastColumn="0" w:noHBand="0" w:noVBand="1"/>
      </w:tblPr>
      <w:tblGrid>
        <w:gridCol w:w="2018"/>
        <w:gridCol w:w="2287"/>
        <w:gridCol w:w="2014"/>
      </w:tblGrid>
      <w:tr w:rsidR="00FE7FEB" w:rsidTr="00216EDE">
        <w:trPr>
          <w:trHeight w:hRule="exact" w:val="615"/>
        </w:trPr>
        <w:tc>
          <w:tcPr>
            <w:tcW w:w="1596"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val="tr-TR" w:eastAsia="tr-TR"/>
              </w:rPr>
            </w:pPr>
            <w:r>
              <w:rPr>
                <w:rFonts w:ascii="Calibri" w:eastAsia="Times New Roman" w:hAnsi="Calibri"/>
                <w:b/>
                <w:bCs/>
                <w:color w:val="FFFFFF" w:themeColor="background1"/>
                <w:lang w:eastAsia="tr-TR"/>
              </w:rPr>
              <w:t>Case Type</w:t>
            </w:r>
          </w:p>
        </w:tc>
        <w:tc>
          <w:tcPr>
            <w:tcW w:w="1810"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eastAsia="tr-TR"/>
              </w:rPr>
            </w:pPr>
            <w:r>
              <w:rPr>
                <w:rFonts w:ascii="Calibri" w:eastAsia="Times New Roman" w:hAnsi="Calibri"/>
                <w:b/>
                <w:bCs/>
                <w:color w:val="FFFFFF" w:themeColor="background1"/>
                <w:lang w:eastAsia="tr-TR"/>
              </w:rPr>
              <w:t>No of Cases</w:t>
            </w:r>
          </w:p>
        </w:tc>
        <w:tc>
          <w:tcPr>
            <w:tcW w:w="1594"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themeColor="background1"/>
                <w:lang w:eastAsia="tr-TR"/>
              </w:rPr>
            </w:pPr>
            <w:r>
              <w:rPr>
                <w:rFonts w:ascii="Calibri" w:eastAsia="Times New Roman" w:hAnsi="Calibri"/>
                <w:b/>
                <w:bCs/>
                <w:color w:val="FFFFFF" w:themeColor="background1"/>
                <w:lang w:eastAsia="tr-TR"/>
              </w:rPr>
              <w:t>Share(%)</w:t>
            </w:r>
          </w:p>
        </w:tc>
      </w:tr>
      <w:tr w:rsidR="00FE7FEB" w:rsidTr="00216EDE">
        <w:trPr>
          <w:trHeight w:hRule="exact" w:val="315"/>
        </w:trPr>
        <w:tc>
          <w:tcPr>
            <w:tcW w:w="1596"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color w:val="000000" w:themeColor="text1"/>
                <w:lang w:eastAsia="tr-TR"/>
              </w:rPr>
              <w:t>Criminal Cases</w:t>
            </w:r>
          </w:p>
        </w:tc>
        <w:tc>
          <w:tcPr>
            <w:tcW w:w="18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733</w:t>
            </w:r>
          </w:p>
        </w:tc>
        <w:tc>
          <w:tcPr>
            <w:tcW w:w="159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22,03</w:t>
            </w:r>
          </w:p>
        </w:tc>
      </w:tr>
      <w:tr w:rsidR="00FE7FEB" w:rsidTr="00216EDE">
        <w:trPr>
          <w:trHeight w:hRule="exact" w:val="315"/>
        </w:trPr>
        <w:tc>
          <w:tcPr>
            <w:tcW w:w="1596"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Administrative Cases</w:t>
            </w:r>
          </w:p>
        </w:tc>
        <w:tc>
          <w:tcPr>
            <w:tcW w:w="18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1.962</w:t>
            </w:r>
          </w:p>
        </w:tc>
        <w:tc>
          <w:tcPr>
            <w:tcW w:w="159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58,97</w:t>
            </w:r>
          </w:p>
        </w:tc>
      </w:tr>
      <w:tr w:rsidR="00FE7FEB" w:rsidTr="00216EDE">
        <w:trPr>
          <w:trHeight w:hRule="exact" w:val="315"/>
        </w:trPr>
        <w:tc>
          <w:tcPr>
            <w:tcW w:w="1596"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Legal Cases</w:t>
            </w:r>
          </w:p>
        </w:tc>
        <w:tc>
          <w:tcPr>
            <w:tcW w:w="18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color w:val="000000" w:themeColor="text1"/>
                <w:lang w:eastAsia="tr-TR"/>
              </w:rPr>
              <w:t>632</w:t>
            </w:r>
          </w:p>
        </w:tc>
        <w:tc>
          <w:tcPr>
            <w:tcW w:w="1594"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color w:val="000000" w:themeColor="text1"/>
                <w:lang w:eastAsia="tr-TR"/>
              </w:rPr>
              <w:t>19,00</w:t>
            </w:r>
          </w:p>
        </w:tc>
      </w:tr>
      <w:tr w:rsidR="00FE7FEB" w:rsidTr="00216EDE">
        <w:trPr>
          <w:trHeight w:hRule="exact" w:val="315"/>
        </w:trPr>
        <w:tc>
          <w:tcPr>
            <w:tcW w:w="1596"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color w:val="000000" w:themeColor="text1"/>
                <w:lang w:eastAsia="tr-TR"/>
              </w:rPr>
              <w:t>TOTAL</w:t>
            </w:r>
          </w:p>
        </w:tc>
        <w:tc>
          <w:tcPr>
            <w:tcW w:w="181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color w:val="000000" w:themeColor="text1"/>
                <w:lang w:eastAsia="tr-TR"/>
              </w:rPr>
              <w:t>3.327</w:t>
            </w:r>
          </w:p>
        </w:tc>
        <w:tc>
          <w:tcPr>
            <w:tcW w:w="1594"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color w:val="000000" w:themeColor="text1"/>
                <w:lang w:eastAsia="tr-TR"/>
              </w:rPr>
              <w:t>100</w:t>
            </w:r>
          </w:p>
        </w:tc>
      </w:tr>
    </w:tbl>
    <w:p w:rsidR="00FE7FEB" w:rsidRDefault="00FE7FEB" w:rsidP="00FE7FEB"/>
    <w:p w:rsidR="00FE7FEB" w:rsidRPr="00B80EEE" w:rsidRDefault="00FE7FEB" w:rsidP="00FE7FEB">
      <w:r w:rsidRPr="00B80EEE">
        <w:t>As can be seen from the tables</w:t>
      </w:r>
      <w:r>
        <w:t xml:space="preserve"> </w:t>
      </w:r>
      <w:r w:rsidRPr="00B80EEE">
        <w:t xml:space="preserve">most of the </w:t>
      </w:r>
      <w:r>
        <w:t>cases</w:t>
      </w:r>
      <w:r w:rsidRPr="00B80EEE">
        <w:t xml:space="preserve"> to which </w:t>
      </w:r>
      <w:r>
        <w:t>EMRA</w:t>
      </w:r>
      <w:r w:rsidRPr="00B80EEE">
        <w:t xml:space="preserve"> is a party are related to the oil market. It is considered that this situation stems from the high number of licensed actors in the oil market.</w:t>
      </w:r>
    </w:p>
    <w:p w:rsidR="00FE7FEB" w:rsidRPr="00216EDE" w:rsidRDefault="00207061" w:rsidP="00216EDE">
      <w:pPr>
        <w:pStyle w:val="Balk5"/>
      </w:pPr>
      <w:bookmarkStart w:id="320" w:name="_Toc12958524"/>
      <w:r>
        <w:rPr>
          <w:rStyle w:val="Gl"/>
          <w:b/>
          <w:bCs w:val="0"/>
        </w:rPr>
        <w:t>Figure</w:t>
      </w:r>
      <w:r w:rsidR="00FE7FEB" w:rsidRPr="00216EDE">
        <w:rPr>
          <w:rStyle w:val="Gl"/>
          <w:b/>
          <w:bCs w:val="0"/>
        </w:rPr>
        <w:t xml:space="preserve"> 8.1: Dispersion of cases of which EMRA is a party by years</w:t>
      </w:r>
      <w:bookmarkEnd w:id="320"/>
    </w:p>
    <w:p w:rsidR="00FE7FEB" w:rsidRDefault="00AF1093" w:rsidP="00AF1093">
      <w:pPr>
        <w:spacing w:after="0" w:line="240" w:lineRule="auto"/>
        <w:jc w:val="both"/>
        <w:rPr>
          <w:b/>
          <w:color w:val="000000" w:themeColor="text1"/>
        </w:rPr>
      </w:pPr>
      <w:r>
        <w:rPr>
          <w:b/>
          <w:color w:val="000000" w:themeColor="text1"/>
        </w:rPr>
        <w:t xml:space="preserve">          </w:t>
      </w:r>
      <w:r w:rsidR="00FE7FEB">
        <w:rPr>
          <w:b/>
          <w:color w:val="000000" w:themeColor="text1"/>
          <w:lang w:val="tr-TR" w:eastAsia="tr-TR"/>
        </w:rPr>
        <w:drawing>
          <wp:inline distT="0" distB="0" distL="0" distR="0" wp14:anchorId="13A55798" wp14:editId="491E2880">
            <wp:extent cx="5480978" cy="2966395"/>
            <wp:effectExtent l="0" t="0" r="5715" b="571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6526" cy="2974810"/>
                    </a:xfrm>
                    <a:prstGeom prst="rect">
                      <a:avLst/>
                    </a:prstGeom>
                    <a:noFill/>
                    <a:ln>
                      <a:noFill/>
                    </a:ln>
                  </pic:spPr>
                </pic:pic>
              </a:graphicData>
            </a:graphic>
          </wp:inline>
        </w:drawing>
      </w:r>
    </w:p>
    <w:p w:rsidR="00FE7FEB" w:rsidRDefault="00FE7FEB" w:rsidP="00FE7FEB">
      <w:pPr>
        <w:spacing w:after="0" w:line="240" w:lineRule="auto"/>
        <w:jc w:val="both"/>
        <w:rPr>
          <w:b/>
          <w:color w:val="000000" w:themeColor="text1"/>
        </w:rPr>
      </w:pPr>
    </w:p>
    <w:p w:rsidR="00FE7FEB" w:rsidRPr="00822B0A" w:rsidRDefault="00FE7FEB" w:rsidP="00FE7FEB">
      <w:pPr>
        <w:spacing w:after="120" w:line="240" w:lineRule="auto"/>
        <w:jc w:val="both"/>
        <w:rPr>
          <w:color w:val="000000" w:themeColor="text1"/>
        </w:rPr>
      </w:pPr>
      <w:r w:rsidRPr="00822B0A">
        <w:rPr>
          <w:color w:val="000000" w:themeColor="text1"/>
        </w:rPr>
        <w:t xml:space="preserve">The "Expropriation" tab has been added to our Institutional Data Management System in 2017 and the lawsuits regarding the expropriation transactions can be </w:t>
      </w:r>
      <w:r>
        <w:rPr>
          <w:color w:val="000000" w:themeColor="text1"/>
        </w:rPr>
        <w:t>demonstrated</w:t>
      </w:r>
      <w:r w:rsidRPr="00822B0A">
        <w:rPr>
          <w:color w:val="000000" w:themeColor="text1"/>
        </w:rPr>
        <w:t xml:space="preserve"> in the distribution of the cases starting from 2017.</w:t>
      </w:r>
    </w:p>
    <w:p w:rsidR="00FE7FEB" w:rsidRPr="00822B0A" w:rsidRDefault="00FE7FEB" w:rsidP="00FE7FEB">
      <w:pPr>
        <w:spacing w:after="120" w:line="240" w:lineRule="auto"/>
        <w:jc w:val="both"/>
        <w:rPr>
          <w:color w:val="000000" w:themeColor="text1"/>
        </w:rPr>
      </w:pPr>
      <w:r w:rsidRPr="00822B0A">
        <w:rPr>
          <w:color w:val="000000" w:themeColor="text1"/>
        </w:rPr>
        <w:t>In 201</w:t>
      </w:r>
      <w:r>
        <w:rPr>
          <w:color w:val="000000" w:themeColor="text1"/>
        </w:rPr>
        <w:t>8</w:t>
      </w:r>
      <w:r w:rsidRPr="00822B0A">
        <w:rPr>
          <w:color w:val="000000" w:themeColor="text1"/>
        </w:rPr>
        <w:t>;</w:t>
      </w:r>
    </w:p>
    <w:p w:rsidR="00FE7FEB" w:rsidRPr="00EB26F0" w:rsidRDefault="00FE7FEB" w:rsidP="00E37E90">
      <w:pPr>
        <w:pStyle w:val="ListeParagraf"/>
        <w:numPr>
          <w:ilvl w:val="0"/>
          <w:numId w:val="14"/>
        </w:numPr>
        <w:autoSpaceDE w:val="0"/>
        <w:autoSpaceDN w:val="0"/>
        <w:adjustRightInd w:val="0"/>
        <w:spacing w:after="120" w:line="276" w:lineRule="auto"/>
        <w:ind w:left="360"/>
        <w:jc w:val="both"/>
      </w:pPr>
      <w:r>
        <w:t>3.327</w:t>
      </w:r>
      <w:r w:rsidRPr="00EB26F0">
        <w:t xml:space="preserve"> cases were filed against our Institution.</w:t>
      </w:r>
    </w:p>
    <w:p w:rsidR="00FE7FEB" w:rsidRPr="00EB26F0" w:rsidRDefault="00FE7FEB" w:rsidP="00E37E90">
      <w:pPr>
        <w:pStyle w:val="ListeParagraf"/>
        <w:numPr>
          <w:ilvl w:val="0"/>
          <w:numId w:val="14"/>
        </w:numPr>
        <w:autoSpaceDE w:val="0"/>
        <w:autoSpaceDN w:val="0"/>
        <w:adjustRightInd w:val="0"/>
        <w:spacing w:after="120" w:line="276" w:lineRule="auto"/>
        <w:ind w:left="360"/>
        <w:jc w:val="both"/>
      </w:pPr>
      <w:r>
        <w:t>3.327</w:t>
      </w:r>
      <w:r w:rsidRPr="00EB26F0">
        <w:t xml:space="preserve"> respondents who are party to our institution; 7</w:t>
      </w:r>
      <w:r>
        <w:t>33</w:t>
      </w:r>
      <w:r w:rsidRPr="00EB26F0">
        <w:t xml:space="preserve"> criminal cases, 1,</w:t>
      </w:r>
      <w:r>
        <w:t>962</w:t>
      </w:r>
      <w:r w:rsidRPr="00EB26F0">
        <w:t xml:space="preserve"> administrative cases, </w:t>
      </w:r>
      <w:r>
        <w:t>632</w:t>
      </w:r>
      <w:r w:rsidRPr="00EB26F0">
        <w:t xml:space="preserve"> legal cases.</w:t>
      </w:r>
    </w:p>
    <w:p w:rsidR="00FE7FEB" w:rsidRPr="00EB26F0" w:rsidRDefault="00FE7FEB" w:rsidP="00E37E90">
      <w:pPr>
        <w:pStyle w:val="ListeParagraf"/>
        <w:numPr>
          <w:ilvl w:val="0"/>
          <w:numId w:val="14"/>
        </w:numPr>
        <w:autoSpaceDE w:val="0"/>
        <w:autoSpaceDN w:val="0"/>
        <w:adjustRightInd w:val="0"/>
        <w:spacing w:after="120" w:line="276" w:lineRule="auto"/>
        <w:ind w:left="360"/>
        <w:jc w:val="both"/>
      </w:pPr>
      <w:r w:rsidRPr="00EB26F0">
        <w:t>1</w:t>
      </w:r>
      <w:r>
        <w:t>.676</w:t>
      </w:r>
      <w:r w:rsidRPr="00EB26F0">
        <w:t xml:space="preserve"> cases were filed in accordance with non-file (non-prosecution, notice of levy, lack of jurisdiction, etc.)</w:t>
      </w:r>
    </w:p>
    <w:p w:rsidR="00FE7FEB" w:rsidRDefault="00FE7FEB" w:rsidP="00FE7FEB">
      <w:pPr>
        <w:spacing w:after="0" w:line="240" w:lineRule="auto"/>
        <w:jc w:val="both"/>
        <w:rPr>
          <w:b/>
          <w:color w:val="000000" w:themeColor="text1"/>
        </w:rPr>
      </w:pPr>
    </w:p>
    <w:p w:rsidR="00FE7FEB" w:rsidRPr="00822B0A" w:rsidRDefault="00FE7FEB" w:rsidP="00FE7FEB">
      <w:pPr>
        <w:spacing w:after="0" w:line="240" w:lineRule="auto"/>
        <w:jc w:val="both"/>
        <w:rPr>
          <w:b/>
          <w:color w:val="000000" w:themeColor="text1"/>
        </w:rPr>
      </w:pPr>
    </w:p>
    <w:p w:rsidR="00FE7FEB" w:rsidRPr="00216EDE" w:rsidRDefault="00FE7FEB" w:rsidP="00216EDE">
      <w:pPr>
        <w:pStyle w:val="Balk5"/>
      </w:pPr>
      <w:bookmarkStart w:id="321" w:name="_Toc12958525"/>
      <w:r w:rsidRPr="00216EDE">
        <w:t>Table 8.4: Status of the cases litigated by EMRA as of the end of 2018</w:t>
      </w:r>
      <w:bookmarkEnd w:id="321"/>
    </w:p>
    <w:tbl>
      <w:tblPr>
        <w:tblW w:w="4226" w:type="pct"/>
        <w:tblInd w:w="779" w:type="dxa"/>
        <w:tblCellMar>
          <w:left w:w="70" w:type="dxa"/>
          <w:right w:w="70" w:type="dxa"/>
        </w:tblCellMar>
        <w:tblLook w:val="04A0" w:firstRow="1" w:lastRow="0" w:firstColumn="1" w:lastColumn="0" w:noHBand="0" w:noVBand="1"/>
      </w:tblPr>
      <w:tblGrid>
        <w:gridCol w:w="1805"/>
        <w:gridCol w:w="1828"/>
        <w:gridCol w:w="2420"/>
        <w:gridCol w:w="2015"/>
      </w:tblGrid>
      <w:tr w:rsidR="00FE7FEB" w:rsidTr="00D816E6">
        <w:trPr>
          <w:trHeight w:val="315"/>
        </w:trPr>
        <w:tc>
          <w:tcPr>
            <w:tcW w:w="1118"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val="tr-TR" w:eastAsia="tr-TR"/>
              </w:rPr>
            </w:pPr>
            <w:r>
              <w:rPr>
                <w:rFonts w:ascii="Calibri" w:eastAsia="Times New Roman" w:hAnsi="Calibri"/>
                <w:b/>
                <w:bCs/>
                <w:color w:val="FFFFFF"/>
                <w:lang w:eastAsia="tr-TR"/>
              </w:rPr>
              <w:t>Case Type</w:t>
            </w:r>
          </w:p>
        </w:tc>
        <w:tc>
          <w:tcPr>
            <w:tcW w:w="1132"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Case No.</w:t>
            </w:r>
          </w:p>
        </w:tc>
        <w:tc>
          <w:tcPr>
            <w:tcW w:w="1500"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Finalized</w:t>
            </w:r>
          </w:p>
        </w:tc>
        <w:tc>
          <w:tcPr>
            <w:tcW w:w="1249" w:type="pct"/>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Pending</w:t>
            </w:r>
          </w:p>
        </w:tc>
      </w:tr>
      <w:tr w:rsidR="00FE7FEB" w:rsidTr="00D816E6">
        <w:trPr>
          <w:trHeight w:val="315"/>
        </w:trPr>
        <w:tc>
          <w:tcPr>
            <w:tcW w:w="1118"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Criminal Cases</w:t>
            </w:r>
          </w:p>
        </w:tc>
        <w:tc>
          <w:tcPr>
            <w:tcW w:w="113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30.514</w:t>
            </w:r>
          </w:p>
        </w:tc>
        <w:tc>
          <w:tcPr>
            <w:tcW w:w="150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181</w:t>
            </w:r>
          </w:p>
        </w:tc>
        <w:tc>
          <w:tcPr>
            <w:tcW w:w="124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30.333</w:t>
            </w:r>
          </w:p>
        </w:tc>
      </w:tr>
      <w:tr w:rsidR="00FE7FEB" w:rsidTr="00D816E6">
        <w:trPr>
          <w:trHeight w:val="315"/>
        </w:trPr>
        <w:tc>
          <w:tcPr>
            <w:tcW w:w="1118"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Administrative Cases</w:t>
            </w:r>
          </w:p>
        </w:tc>
        <w:tc>
          <w:tcPr>
            <w:tcW w:w="113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18.186</w:t>
            </w:r>
          </w:p>
        </w:tc>
        <w:tc>
          <w:tcPr>
            <w:tcW w:w="150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5.200</w:t>
            </w:r>
          </w:p>
        </w:tc>
        <w:tc>
          <w:tcPr>
            <w:tcW w:w="124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12.986</w:t>
            </w:r>
          </w:p>
        </w:tc>
      </w:tr>
      <w:tr w:rsidR="00FE7FEB" w:rsidTr="00D816E6">
        <w:trPr>
          <w:trHeight w:val="315"/>
        </w:trPr>
        <w:tc>
          <w:tcPr>
            <w:tcW w:w="1118"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Legal Cases</w:t>
            </w:r>
          </w:p>
        </w:tc>
        <w:tc>
          <w:tcPr>
            <w:tcW w:w="113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5.200</w:t>
            </w:r>
          </w:p>
        </w:tc>
        <w:tc>
          <w:tcPr>
            <w:tcW w:w="150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26</w:t>
            </w:r>
          </w:p>
        </w:tc>
        <w:tc>
          <w:tcPr>
            <w:tcW w:w="124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5.174</w:t>
            </w:r>
          </w:p>
        </w:tc>
      </w:tr>
      <w:tr w:rsidR="00FE7FEB" w:rsidTr="00D816E6">
        <w:trPr>
          <w:trHeight w:val="315"/>
        </w:trPr>
        <w:tc>
          <w:tcPr>
            <w:tcW w:w="1118"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lang w:eastAsia="tr-TR"/>
              </w:rPr>
              <w:t>Total</w:t>
            </w:r>
          </w:p>
        </w:tc>
        <w:tc>
          <w:tcPr>
            <w:tcW w:w="1132"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53.900</w:t>
            </w:r>
          </w:p>
        </w:tc>
        <w:tc>
          <w:tcPr>
            <w:tcW w:w="1500"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5.407</w:t>
            </w:r>
          </w:p>
        </w:tc>
        <w:tc>
          <w:tcPr>
            <w:tcW w:w="124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48.493</w:t>
            </w:r>
          </w:p>
        </w:tc>
      </w:tr>
    </w:tbl>
    <w:p w:rsidR="00FE7FEB" w:rsidRDefault="00FE7FEB" w:rsidP="00FE7FEB">
      <w:pPr>
        <w:spacing w:line="360" w:lineRule="auto"/>
        <w:rPr>
          <w:b/>
          <w:bCs/>
        </w:rPr>
      </w:pPr>
    </w:p>
    <w:p w:rsidR="00FE7FEB" w:rsidRPr="00EB26F0" w:rsidRDefault="00FE7FEB" w:rsidP="00E37E90">
      <w:pPr>
        <w:pStyle w:val="ListeParagraf"/>
        <w:numPr>
          <w:ilvl w:val="0"/>
          <w:numId w:val="14"/>
        </w:numPr>
        <w:autoSpaceDE w:val="0"/>
        <w:autoSpaceDN w:val="0"/>
        <w:adjustRightInd w:val="0"/>
        <w:spacing w:after="120" w:line="276" w:lineRule="auto"/>
        <w:ind w:left="360"/>
        <w:jc w:val="both"/>
      </w:pPr>
      <w:r w:rsidRPr="00EB26F0">
        <w:t>As of 31/12/201</w:t>
      </w:r>
      <w:r>
        <w:t>8</w:t>
      </w:r>
      <w:r w:rsidRPr="00EB26F0">
        <w:t>; There were 5</w:t>
      </w:r>
      <w:r>
        <w:t>3.900</w:t>
      </w:r>
      <w:r w:rsidRPr="00EB26F0">
        <w:t xml:space="preserve"> lawsuitsof which EMRA is a party and 4</w:t>
      </w:r>
      <w:r>
        <w:t>8.493</w:t>
      </w:r>
      <w:r w:rsidRPr="00EB26F0">
        <w:t xml:space="preserve"> lawsuits were still pending.</w:t>
      </w:r>
    </w:p>
    <w:p w:rsidR="00FE7FEB" w:rsidRPr="00EB26F0" w:rsidRDefault="00FE7FEB" w:rsidP="00E37E90">
      <w:pPr>
        <w:pStyle w:val="ListeParagraf"/>
        <w:numPr>
          <w:ilvl w:val="0"/>
          <w:numId w:val="14"/>
        </w:numPr>
        <w:autoSpaceDE w:val="0"/>
        <w:autoSpaceDN w:val="0"/>
        <w:adjustRightInd w:val="0"/>
        <w:spacing w:after="120" w:line="276" w:lineRule="auto"/>
        <w:ind w:left="360"/>
        <w:jc w:val="both"/>
      </w:pPr>
      <w:r>
        <w:t>30.514</w:t>
      </w:r>
      <w:r w:rsidRPr="00EB26F0">
        <w:t xml:space="preserve"> out of 5</w:t>
      </w:r>
      <w:r>
        <w:t>3.900</w:t>
      </w:r>
      <w:r w:rsidRPr="00EB26F0">
        <w:t xml:space="preserve"> cases are criminal cases, 1</w:t>
      </w:r>
      <w:r>
        <w:t>8.186</w:t>
      </w:r>
      <w:r w:rsidRPr="00EB26F0">
        <w:t xml:space="preserve"> are administarive cases, </w:t>
      </w:r>
      <w:r>
        <w:t>5200</w:t>
      </w:r>
      <w:r w:rsidRPr="00EB26F0">
        <w:t xml:space="preserve"> are legal cases. </w:t>
      </w:r>
    </w:p>
    <w:p w:rsidR="00FE7FEB" w:rsidRPr="00EB26F0" w:rsidRDefault="00FE7FEB" w:rsidP="00E37E90">
      <w:pPr>
        <w:pStyle w:val="ListeParagraf"/>
        <w:numPr>
          <w:ilvl w:val="0"/>
          <w:numId w:val="14"/>
        </w:numPr>
        <w:autoSpaceDE w:val="0"/>
        <w:autoSpaceDN w:val="0"/>
        <w:adjustRightInd w:val="0"/>
        <w:spacing w:after="120" w:line="276" w:lineRule="auto"/>
        <w:ind w:left="360"/>
        <w:jc w:val="both"/>
      </w:pPr>
      <w:r>
        <w:t>5.407</w:t>
      </w:r>
      <w:r w:rsidRPr="00EB26F0">
        <w:t xml:space="preserve"> cases have been finalized, 1</w:t>
      </w:r>
      <w:r>
        <w:t>81</w:t>
      </w:r>
      <w:r w:rsidRPr="00EB26F0">
        <w:t xml:space="preserve"> </w:t>
      </w:r>
      <w:r>
        <w:t>of them were criminal c</w:t>
      </w:r>
      <w:r w:rsidRPr="00EB26F0">
        <w:t xml:space="preserve">ases, </w:t>
      </w:r>
      <w:r>
        <w:t xml:space="preserve">5.200 </w:t>
      </w:r>
      <w:r w:rsidRPr="00EB26F0">
        <w:t xml:space="preserve">were administrative cases, </w:t>
      </w:r>
      <w:r>
        <w:t>2</w:t>
      </w:r>
      <w:r w:rsidRPr="00EB26F0">
        <w:t xml:space="preserve">6 were legal cases. </w:t>
      </w:r>
    </w:p>
    <w:p w:rsidR="00FE7FEB" w:rsidRPr="00EB26F0" w:rsidRDefault="00FE7FEB" w:rsidP="00E37E90">
      <w:pPr>
        <w:pStyle w:val="ListeParagraf"/>
        <w:numPr>
          <w:ilvl w:val="0"/>
          <w:numId w:val="14"/>
        </w:numPr>
        <w:autoSpaceDE w:val="0"/>
        <w:autoSpaceDN w:val="0"/>
        <w:adjustRightInd w:val="0"/>
        <w:spacing w:after="120" w:line="276" w:lineRule="auto"/>
        <w:ind w:left="360"/>
        <w:jc w:val="both"/>
      </w:pPr>
      <w:r w:rsidRPr="00EB26F0">
        <w:t>4</w:t>
      </w:r>
      <w:r>
        <w:t>8.493</w:t>
      </w:r>
      <w:r w:rsidRPr="00EB26F0">
        <w:t xml:space="preserve"> cases are pending, </w:t>
      </w:r>
      <w:r>
        <w:t xml:space="preserve">30.333 </w:t>
      </w:r>
      <w:r w:rsidRPr="00EB26F0">
        <w:t xml:space="preserve">of which are criminal cases, </w:t>
      </w:r>
      <w:r>
        <w:t>12.986</w:t>
      </w:r>
      <w:r w:rsidRPr="00EB26F0">
        <w:t xml:space="preserve"> are administrative cases and  </w:t>
      </w:r>
      <w:r>
        <w:t>5.174</w:t>
      </w:r>
      <w:r w:rsidRPr="00EB26F0">
        <w:t xml:space="preserve"> are legal cases.</w:t>
      </w:r>
    </w:p>
    <w:p w:rsidR="00FE7FEB" w:rsidRPr="00EB26F0" w:rsidRDefault="00FE7FEB" w:rsidP="00E37E90">
      <w:pPr>
        <w:pStyle w:val="ListeParagraf"/>
        <w:numPr>
          <w:ilvl w:val="0"/>
          <w:numId w:val="14"/>
        </w:numPr>
        <w:autoSpaceDE w:val="0"/>
        <w:autoSpaceDN w:val="0"/>
        <w:adjustRightInd w:val="0"/>
        <w:spacing w:after="120" w:line="276" w:lineRule="auto"/>
        <w:ind w:left="360"/>
        <w:jc w:val="both"/>
      </w:pPr>
      <w:r w:rsidRPr="00EB26F0">
        <w:t>1</w:t>
      </w:r>
      <w:r>
        <w:t>3.219</w:t>
      </w:r>
      <w:r w:rsidRPr="00EB26F0">
        <w:t xml:space="preserve"> extra-judicial files have been litigated. (non-prosecution, notice of levy, lack of competence etc.). </w:t>
      </w:r>
    </w:p>
    <w:p w:rsidR="00FE7FEB" w:rsidRPr="00216EDE" w:rsidRDefault="00FE7FEB" w:rsidP="00216EDE">
      <w:pPr>
        <w:pStyle w:val="Balk5"/>
      </w:pPr>
      <w:r w:rsidRPr="00216EDE">
        <w:tab/>
      </w:r>
      <w:bookmarkStart w:id="322" w:name="_Toc12958526"/>
      <w:r w:rsidRPr="00216EDE">
        <w:t>Table 8.5: The resolutions</w:t>
      </w:r>
      <w:bookmarkEnd w:id="322"/>
    </w:p>
    <w:tbl>
      <w:tblPr>
        <w:tblW w:w="4508" w:type="pct"/>
        <w:tblInd w:w="496" w:type="dxa"/>
        <w:tblCellMar>
          <w:left w:w="70" w:type="dxa"/>
          <w:right w:w="70" w:type="dxa"/>
        </w:tblCellMar>
        <w:tblLook w:val="04A0" w:firstRow="1" w:lastRow="0" w:firstColumn="1" w:lastColumn="0" w:noHBand="0" w:noVBand="1"/>
      </w:tblPr>
      <w:tblGrid>
        <w:gridCol w:w="2287"/>
        <w:gridCol w:w="1618"/>
        <w:gridCol w:w="1618"/>
        <w:gridCol w:w="1542"/>
        <w:gridCol w:w="1542"/>
      </w:tblGrid>
      <w:tr w:rsidR="00FE7FEB" w:rsidTr="00D816E6">
        <w:trPr>
          <w:trHeight w:val="315"/>
        </w:trPr>
        <w:tc>
          <w:tcPr>
            <w:tcW w:w="1328" w:type="pct"/>
            <w:vMerge w:val="restar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val="tr-TR" w:eastAsia="tr-TR"/>
              </w:rPr>
            </w:pPr>
            <w:r>
              <w:rPr>
                <w:rFonts w:ascii="Calibri" w:eastAsia="Times New Roman" w:hAnsi="Calibri"/>
                <w:b/>
                <w:bCs/>
                <w:color w:val="FFFFFF"/>
                <w:lang w:val="tr-TR" w:eastAsia="tr-TR"/>
              </w:rPr>
              <w:t xml:space="preserve">Case </w:t>
            </w:r>
            <w:r w:rsidRPr="00062C4F">
              <w:rPr>
                <w:rFonts w:ascii="Calibri" w:eastAsia="Times New Roman" w:hAnsi="Calibri"/>
                <w:b/>
                <w:bCs/>
                <w:color w:val="FFFFFF"/>
                <w:lang w:eastAsia="tr-TR"/>
              </w:rPr>
              <w:t>Type</w:t>
            </w:r>
          </w:p>
        </w:tc>
        <w:tc>
          <w:tcPr>
            <w:tcW w:w="1880" w:type="pct"/>
            <w:gridSpan w:val="2"/>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In favour</w:t>
            </w:r>
          </w:p>
        </w:tc>
        <w:tc>
          <w:tcPr>
            <w:tcW w:w="1792" w:type="pct"/>
            <w:gridSpan w:val="2"/>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Against</w:t>
            </w:r>
          </w:p>
        </w:tc>
      </w:tr>
      <w:tr w:rsidR="00FE7FEB" w:rsidTr="00D816E6">
        <w:trPr>
          <w:trHeight w:val="393"/>
        </w:trPr>
        <w:tc>
          <w:tcPr>
            <w:tcW w:w="0" w:type="auto"/>
            <w:vMerge/>
            <w:tcBorders>
              <w:top w:val="single" w:sz="8" w:space="0" w:color="BFBFBF"/>
              <w:left w:val="single" w:sz="8" w:space="0" w:color="BFBFBF"/>
              <w:bottom w:val="single" w:sz="8" w:space="0" w:color="BFBFBF"/>
              <w:right w:val="single" w:sz="8" w:space="0" w:color="BFBFBF"/>
            </w:tcBorders>
            <w:vAlign w:val="center"/>
            <w:hideMark/>
          </w:tcPr>
          <w:p w:rsidR="00FE7FEB" w:rsidRDefault="00FE7FEB" w:rsidP="00D816E6">
            <w:pPr>
              <w:spacing w:after="0"/>
              <w:rPr>
                <w:rFonts w:ascii="Calibri" w:eastAsia="Times New Roman" w:hAnsi="Calibri"/>
                <w:b/>
                <w:bCs/>
                <w:color w:val="FFFFFF"/>
                <w:lang w:eastAsia="tr-TR"/>
              </w:rPr>
            </w:pPr>
          </w:p>
        </w:tc>
        <w:tc>
          <w:tcPr>
            <w:tcW w:w="940" w:type="pct"/>
            <w:tcBorders>
              <w:top w:val="nil"/>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No of Cases</w:t>
            </w:r>
          </w:p>
        </w:tc>
        <w:tc>
          <w:tcPr>
            <w:tcW w:w="940" w:type="pct"/>
            <w:tcBorders>
              <w:top w:val="nil"/>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c>
          <w:tcPr>
            <w:tcW w:w="896" w:type="pct"/>
            <w:tcBorders>
              <w:top w:val="nil"/>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No of Cases</w:t>
            </w:r>
          </w:p>
        </w:tc>
        <w:tc>
          <w:tcPr>
            <w:tcW w:w="896" w:type="pct"/>
            <w:tcBorders>
              <w:top w:val="nil"/>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r>
      <w:tr w:rsidR="00FE7FEB" w:rsidTr="00D816E6">
        <w:trPr>
          <w:trHeight w:val="315"/>
        </w:trPr>
        <w:tc>
          <w:tcPr>
            <w:tcW w:w="1328"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Criminal Cases</w:t>
            </w:r>
          </w:p>
        </w:tc>
        <w:tc>
          <w:tcPr>
            <w:tcW w:w="94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151</w:t>
            </w:r>
          </w:p>
        </w:tc>
        <w:tc>
          <w:tcPr>
            <w:tcW w:w="94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83,43</w:t>
            </w:r>
          </w:p>
        </w:tc>
        <w:tc>
          <w:tcPr>
            <w:tcW w:w="896"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30</w:t>
            </w:r>
          </w:p>
        </w:tc>
        <w:tc>
          <w:tcPr>
            <w:tcW w:w="896"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16,57</w:t>
            </w:r>
          </w:p>
        </w:tc>
      </w:tr>
      <w:tr w:rsidR="00FE7FEB" w:rsidTr="00D816E6">
        <w:trPr>
          <w:trHeight w:val="315"/>
        </w:trPr>
        <w:tc>
          <w:tcPr>
            <w:tcW w:w="1328"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Administrative Cases</w:t>
            </w:r>
          </w:p>
        </w:tc>
        <w:tc>
          <w:tcPr>
            <w:tcW w:w="94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3.964</w:t>
            </w:r>
          </w:p>
        </w:tc>
        <w:tc>
          <w:tcPr>
            <w:tcW w:w="94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76,23</w:t>
            </w:r>
          </w:p>
        </w:tc>
        <w:tc>
          <w:tcPr>
            <w:tcW w:w="896"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1.236</w:t>
            </w:r>
          </w:p>
        </w:tc>
        <w:tc>
          <w:tcPr>
            <w:tcW w:w="896"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23,77</w:t>
            </w:r>
          </w:p>
        </w:tc>
      </w:tr>
      <w:tr w:rsidR="00FE7FEB" w:rsidTr="00D816E6">
        <w:trPr>
          <w:trHeight w:val="315"/>
        </w:trPr>
        <w:tc>
          <w:tcPr>
            <w:tcW w:w="1328"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Legal Cases</w:t>
            </w:r>
          </w:p>
        </w:tc>
        <w:tc>
          <w:tcPr>
            <w:tcW w:w="94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26</w:t>
            </w:r>
          </w:p>
        </w:tc>
        <w:tc>
          <w:tcPr>
            <w:tcW w:w="94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100,00</w:t>
            </w:r>
          </w:p>
        </w:tc>
        <w:tc>
          <w:tcPr>
            <w:tcW w:w="896"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0</w:t>
            </w:r>
          </w:p>
        </w:tc>
        <w:tc>
          <w:tcPr>
            <w:tcW w:w="896"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0</w:t>
            </w:r>
          </w:p>
        </w:tc>
      </w:tr>
      <w:tr w:rsidR="00FE7FEB" w:rsidTr="00D816E6">
        <w:trPr>
          <w:trHeight w:val="315"/>
        </w:trPr>
        <w:tc>
          <w:tcPr>
            <w:tcW w:w="1328"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lang w:eastAsia="tr-TR"/>
              </w:rPr>
              <w:t>Total</w:t>
            </w:r>
          </w:p>
        </w:tc>
        <w:tc>
          <w:tcPr>
            <w:tcW w:w="940"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4.141</w:t>
            </w:r>
          </w:p>
        </w:tc>
        <w:tc>
          <w:tcPr>
            <w:tcW w:w="940"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76,59</w:t>
            </w:r>
          </w:p>
        </w:tc>
        <w:tc>
          <w:tcPr>
            <w:tcW w:w="896"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1.266</w:t>
            </w:r>
          </w:p>
        </w:tc>
        <w:tc>
          <w:tcPr>
            <w:tcW w:w="896"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23,41</w:t>
            </w:r>
          </w:p>
        </w:tc>
      </w:tr>
    </w:tbl>
    <w:p w:rsidR="00FE7FEB" w:rsidRDefault="00FE7FEB" w:rsidP="00FE7FEB">
      <w:pPr>
        <w:rPr>
          <w:b/>
          <w:bCs/>
        </w:rPr>
      </w:pPr>
    </w:p>
    <w:p w:rsidR="00FE7FEB" w:rsidRDefault="00FE7FEB" w:rsidP="00216EDE">
      <w:pPr>
        <w:pStyle w:val="Balk5"/>
      </w:pPr>
      <w:bookmarkStart w:id="323" w:name="_Toc12958527"/>
      <w:r>
        <w:t>Table 8.6: The resolutions</w:t>
      </w:r>
      <w:bookmarkEnd w:id="323"/>
    </w:p>
    <w:tbl>
      <w:tblPr>
        <w:tblW w:w="4931" w:type="pct"/>
        <w:tblInd w:w="212" w:type="dxa"/>
        <w:tblCellMar>
          <w:left w:w="70" w:type="dxa"/>
          <w:right w:w="70" w:type="dxa"/>
        </w:tblCellMar>
        <w:tblLook w:val="04A0" w:firstRow="1" w:lastRow="0" w:firstColumn="1" w:lastColumn="0" w:noHBand="0" w:noVBand="1"/>
      </w:tblPr>
      <w:tblGrid>
        <w:gridCol w:w="2688"/>
        <w:gridCol w:w="1746"/>
        <w:gridCol w:w="1746"/>
        <w:gridCol w:w="1617"/>
        <w:gridCol w:w="1617"/>
      </w:tblGrid>
      <w:tr w:rsidR="00FE7FEB" w:rsidTr="00D816E6">
        <w:trPr>
          <w:trHeight w:val="315"/>
        </w:trPr>
        <w:tc>
          <w:tcPr>
            <w:tcW w:w="1427" w:type="pct"/>
            <w:vMerge w:val="restar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val="tr-TR" w:eastAsia="tr-TR"/>
              </w:rPr>
            </w:pPr>
            <w:r>
              <w:rPr>
                <w:rFonts w:ascii="Calibri" w:eastAsia="Times New Roman" w:hAnsi="Calibri"/>
                <w:b/>
                <w:bCs/>
                <w:color w:val="FFFFFF"/>
                <w:lang w:eastAsia="tr-TR"/>
              </w:rPr>
              <w:t>Case Type</w:t>
            </w:r>
          </w:p>
        </w:tc>
        <w:tc>
          <w:tcPr>
            <w:tcW w:w="1854" w:type="pct"/>
            <w:gridSpan w:val="2"/>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In favour</w:t>
            </w:r>
          </w:p>
        </w:tc>
        <w:tc>
          <w:tcPr>
            <w:tcW w:w="1718" w:type="pct"/>
            <w:gridSpan w:val="2"/>
            <w:tcBorders>
              <w:top w:val="single" w:sz="8" w:space="0" w:color="BFBFBF"/>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Against</w:t>
            </w:r>
          </w:p>
        </w:tc>
      </w:tr>
      <w:tr w:rsidR="00FE7FEB" w:rsidTr="00D816E6">
        <w:trPr>
          <w:trHeight w:val="283"/>
        </w:trPr>
        <w:tc>
          <w:tcPr>
            <w:tcW w:w="0" w:type="auto"/>
            <w:vMerge/>
            <w:tcBorders>
              <w:top w:val="single" w:sz="8" w:space="0" w:color="BFBFBF"/>
              <w:left w:val="single" w:sz="8" w:space="0" w:color="BFBFBF"/>
              <w:bottom w:val="single" w:sz="8" w:space="0" w:color="BFBFBF"/>
              <w:right w:val="single" w:sz="8" w:space="0" w:color="BFBFBF"/>
            </w:tcBorders>
            <w:vAlign w:val="center"/>
            <w:hideMark/>
          </w:tcPr>
          <w:p w:rsidR="00FE7FEB" w:rsidRDefault="00FE7FEB" w:rsidP="00D816E6">
            <w:pPr>
              <w:spacing w:after="0"/>
              <w:rPr>
                <w:rFonts w:ascii="Calibri" w:eastAsia="Times New Roman" w:hAnsi="Calibri"/>
                <w:b/>
                <w:bCs/>
                <w:color w:val="FFFFFF"/>
                <w:lang w:eastAsia="tr-TR"/>
              </w:rPr>
            </w:pPr>
          </w:p>
        </w:tc>
        <w:tc>
          <w:tcPr>
            <w:tcW w:w="927" w:type="pct"/>
            <w:tcBorders>
              <w:top w:val="nil"/>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No of Cases</w:t>
            </w:r>
          </w:p>
        </w:tc>
        <w:tc>
          <w:tcPr>
            <w:tcW w:w="927" w:type="pct"/>
            <w:tcBorders>
              <w:top w:val="nil"/>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c>
          <w:tcPr>
            <w:tcW w:w="859" w:type="pct"/>
            <w:tcBorders>
              <w:top w:val="nil"/>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No of Cases</w:t>
            </w:r>
          </w:p>
        </w:tc>
        <w:tc>
          <w:tcPr>
            <w:tcW w:w="859" w:type="pct"/>
            <w:tcBorders>
              <w:top w:val="nil"/>
              <w:left w:val="nil"/>
              <w:bottom w:val="single" w:sz="8" w:space="0" w:color="BFBFBF"/>
              <w:right w:val="single" w:sz="8" w:space="0" w:color="BFBFBF"/>
            </w:tcBorders>
            <w:shd w:val="clear" w:color="auto" w:fill="6E9ECA"/>
            <w:vAlign w:val="center"/>
            <w:hideMark/>
          </w:tcPr>
          <w:p w:rsidR="00FE7FEB" w:rsidRDefault="00FE7FEB" w:rsidP="00D816E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Share (%)</w:t>
            </w:r>
          </w:p>
        </w:tc>
      </w:tr>
      <w:tr w:rsidR="00FE7FEB" w:rsidTr="00D816E6">
        <w:trPr>
          <w:trHeight w:val="315"/>
        </w:trPr>
        <w:tc>
          <w:tcPr>
            <w:tcW w:w="1427"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Criminal Cases</w:t>
            </w:r>
          </w:p>
        </w:tc>
        <w:tc>
          <w:tcPr>
            <w:tcW w:w="927"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8.041</w:t>
            </w:r>
          </w:p>
        </w:tc>
        <w:tc>
          <w:tcPr>
            <w:tcW w:w="927"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86,30</w:t>
            </w:r>
          </w:p>
        </w:tc>
        <w:tc>
          <w:tcPr>
            <w:tcW w:w="85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1.276</w:t>
            </w:r>
          </w:p>
        </w:tc>
        <w:tc>
          <w:tcPr>
            <w:tcW w:w="85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13,7</w:t>
            </w:r>
          </w:p>
        </w:tc>
      </w:tr>
      <w:tr w:rsidR="00FE7FEB" w:rsidTr="00D816E6">
        <w:trPr>
          <w:trHeight w:val="315"/>
        </w:trPr>
        <w:tc>
          <w:tcPr>
            <w:tcW w:w="1427"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Administrative Cases</w:t>
            </w:r>
          </w:p>
        </w:tc>
        <w:tc>
          <w:tcPr>
            <w:tcW w:w="927"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9.650</w:t>
            </w:r>
          </w:p>
        </w:tc>
        <w:tc>
          <w:tcPr>
            <w:tcW w:w="927"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73,58</w:t>
            </w:r>
          </w:p>
        </w:tc>
        <w:tc>
          <w:tcPr>
            <w:tcW w:w="85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3.465</w:t>
            </w:r>
          </w:p>
        </w:tc>
        <w:tc>
          <w:tcPr>
            <w:tcW w:w="85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26,42</w:t>
            </w:r>
          </w:p>
        </w:tc>
      </w:tr>
      <w:tr w:rsidR="00FE7FEB" w:rsidTr="00D816E6">
        <w:trPr>
          <w:trHeight w:val="315"/>
        </w:trPr>
        <w:tc>
          <w:tcPr>
            <w:tcW w:w="1427"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lang w:eastAsia="tr-TR"/>
              </w:rPr>
            </w:pPr>
            <w:r>
              <w:rPr>
                <w:rFonts w:ascii="Calibri" w:eastAsia="Times New Roman" w:hAnsi="Calibri"/>
                <w:lang w:eastAsia="tr-TR"/>
              </w:rPr>
              <w:t>Legal Cases</w:t>
            </w:r>
          </w:p>
        </w:tc>
        <w:tc>
          <w:tcPr>
            <w:tcW w:w="927"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138</w:t>
            </w:r>
          </w:p>
        </w:tc>
        <w:tc>
          <w:tcPr>
            <w:tcW w:w="927"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83,13</w:t>
            </w:r>
          </w:p>
        </w:tc>
        <w:tc>
          <w:tcPr>
            <w:tcW w:w="85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lang w:eastAsia="tr-TR"/>
              </w:rPr>
            </w:pPr>
            <w:r>
              <w:rPr>
                <w:rFonts w:ascii="Calibri" w:eastAsia="Times New Roman" w:hAnsi="Calibri"/>
                <w:lang w:eastAsia="tr-TR"/>
              </w:rPr>
              <w:t>28</w:t>
            </w:r>
          </w:p>
        </w:tc>
        <w:tc>
          <w:tcPr>
            <w:tcW w:w="85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lang w:eastAsia="tr-TR"/>
              </w:rPr>
            </w:pPr>
            <w:r>
              <w:rPr>
                <w:rFonts w:ascii="Calibri" w:eastAsia="Times New Roman" w:hAnsi="Calibri"/>
                <w:lang w:eastAsia="tr-TR"/>
              </w:rPr>
              <w:t>16,87</w:t>
            </w:r>
          </w:p>
        </w:tc>
      </w:tr>
      <w:tr w:rsidR="00FE7FEB" w:rsidTr="00D816E6">
        <w:trPr>
          <w:trHeight w:val="315"/>
        </w:trPr>
        <w:tc>
          <w:tcPr>
            <w:tcW w:w="1427" w:type="pct"/>
            <w:tcBorders>
              <w:top w:val="nil"/>
              <w:left w:val="single" w:sz="8" w:space="0" w:color="BFBFBF"/>
              <w:bottom w:val="single" w:sz="8" w:space="0" w:color="BFBFBF"/>
              <w:right w:val="single" w:sz="8" w:space="0" w:color="BFBFBF"/>
            </w:tcBorders>
            <w:vAlign w:val="center"/>
            <w:hideMark/>
          </w:tcPr>
          <w:p w:rsidR="00FE7FEB" w:rsidRDefault="00FE7FEB" w:rsidP="00D816E6">
            <w:pPr>
              <w:spacing w:after="0" w:line="240" w:lineRule="auto"/>
              <w:rPr>
                <w:rFonts w:ascii="Calibri" w:eastAsia="Times New Roman" w:hAnsi="Calibri"/>
                <w:b/>
                <w:bCs/>
                <w:lang w:eastAsia="tr-TR"/>
              </w:rPr>
            </w:pPr>
            <w:r>
              <w:rPr>
                <w:rFonts w:ascii="Calibri" w:eastAsia="Times New Roman" w:hAnsi="Calibri"/>
                <w:b/>
                <w:bCs/>
                <w:lang w:eastAsia="tr-TR"/>
              </w:rPr>
              <w:t>Total</w:t>
            </w:r>
          </w:p>
        </w:tc>
        <w:tc>
          <w:tcPr>
            <w:tcW w:w="927" w:type="pct"/>
            <w:tcBorders>
              <w:top w:val="nil"/>
              <w:left w:val="nil"/>
              <w:bottom w:val="single" w:sz="8" w:space="0" w:color="BFBFBF"/>
              <w:right w:val="single" w:sz="8" w:space="0" w:color="BFBFBF"/>
            </w:tcBorders>
            <w:noWrap/>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17.829</w:t>
            </w:r>
          </w:p>
        </w:tc>
        <w:tc>
          <w:tcPr>
            <w:tcW w:w="927"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78,90</w:t>
            </w:r>
          </w:p>
        </w:tc>
        <w:tc>
          <w:tcPr>
            <w:tcW w:w="85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right"/>
              <w:rPr>
                <w:rFonts w:ascii="Calibri" w:eastAsia="Times New Roman" w:hAnsi="Calibri"/>
                <w:b/>
                <w:bCs/>
                <w:lang w:eastAsia="tr-TR"/>
              </w:rPr>
            </w:pPr>
            <w:r>
              <w:rPr>
                <w:rFonts w:ascii="Calibri" w:eastAsia="Times New Roman" w:hAnsi="Calibri"/>
                <w:b/>
                <w:bCs/>
                <w:lang w:eastAsia="tr-TR"/>
              </w:rPr>
              <w:t>4.769</w:t>
            </w:r>
          </w:p>
        </w:tc>
        <w:tc>
          <w:tcPr>
            <w:tcW w:w="859" w:type="pct"/>
            <w:tcBorders>
              <w:top w:val="nil"/>
              <w:left w:val="nil"/>
              <w:bottom w:val="single" w:sz="8" w:space="0" w:color="BFBFBF"/>
              <w:right w:val="single" w:sz="8" w:space="0" w:color="BFBFBF"/>
            </w:tcBorders>
            <w:vAlign w:val="center"/>
            <w:hideMark/>
          </w:tcPr>
          <w:p w:rsidR="00FE7FEB" w:rsidRDefault="00FE7FEB" w:rsidP="00D816E6">
            <w:pPr>
              <w:spacing w:after="0" w:line="240" w:lineRule="auto"/>
              <w:jc w:val="center"/>
              <w:rPr>
                <w:rFonts w:ascii="Calibri" w:eastAsia="Times New Roman" w:hAnsi="Calibri"/>
                <w:b/>
                <w:bCs/>
                <w:lang w:eastAsia="tr-TR"/>
              </w:rPr>
            </w:pPr>
            <w:r>
              <w:rPr>
                <w:rFonts w:ascii="Calibri" w:eastAsia="Times New Roman" w:hAnsi="Calibri"/>
                <w:b/>
                <w:bCs/>
                <w:lang w:eastAsia="tr-TR"/>
              </w:rPr>
              <w:t>21,10</w:t>
            </w:r>
          </w:p>
        </w:tc>
      </w:tr>
    </w:tbl>
    <w:p w:rsidR="00FE7FEB" w:rsidRDefault="00FE7FEB" w:rsidP="00FE7FEB">
      <w:pPr>
        <w:rPr>
          <w:b/>
          <w:bCs/>
        </w:rPr>
      </w:pPr>
    </w:p>
    <w:p w:rsidR="00FE7FEB" w:rsidRPr="00000EE3" w:rsidRDefault="00FE7FEB" w:rsidP="00216EDE">
      <w:pPr>
        <w:pStyle w:val="Balk5"/>
      </w:pPr>
      <w:bookmarkStart w:id="324" w:name="_Toc12958528"/>
      <w:r w:rsidRPr="00000EE3">
        <w:t xml:space="preserve">Figure 8.2: Distribution of the Cases in which </w:t>
      </w:r>
      <w:r>
        <w:t>EMRA</w:t>
      </w:r>
      <w:r w:rsidRPr="00000EE3">
        <w:t xml:space="preserve"> is a Party by the End of the Year in Terms of Results</w:t>
      </w:r>
      <w:bookmarkEnd w:id="324"/>
    </w:p>
    <w:p w:rsidR="00FE7FEB" w:rsidRPr="00397675" w:rsidRDefault="00FE7FEB" w:rsidP="00AF1093">
      <w:pPr>
        <w:ind w:left="720" w:firstLine="708"/>
      </w:pPr>
      <w:r>
        <w:t xml:space="preserve">            </w:t>
      </w:r>
      <w:r>
        <w:rPr>
          <w:lang w:val="tr-TR" w:eastAsia="tr-TR"/>
        </w:rPr>
        <w:drawing>
          <wp:inline distT="0" distB="0" distL="0" distR="0" wp14:anchorId="25049EE1" wp14:editId="3D4FD230">
            <wp:extent cx="5765800" cy="2603500"/>
            <wp:effectExtent l="0" t="0" r="6350" b="635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5800" cy="2603500"/>
                    </a:xfrm>
                    <a:prstGeom prst="rect">
                      <a:avLst/>
                    </a:prstGeom>
                    <a:noFill/>
                    <a:ln>
                      <a:noFill/>
                    </a:ln>
                  </pic:spPr>
                </pic:pic>
              </a:graphicData>
            </a:graphic>
          </wp:inline>
        </w:drawing>
      </w:r>
    </w:p>
    <w:p w:rsidR="00FE7FEB" w:rsidRPr="00AF1093" w:rsidRDefault="00FE7FEB" w:rsidP="00AF1093">
      <w:pPr>
        <w:pStyle w:val="Balk2"/>
      </w:pPr>
      <w:bookmarkStart w:id="325" w:name="_Toc12956370"/>
      <w:r w:rsidRPr="00AF1093">
        <w:t>8.2. Providing Opinion</w:t>
      </w:r>
      <w:bookmarkEnd w:id="325"/>
    </w:p>
    <w:p w:rsidR="00FE7FEB" w:rsidRDefault="00FE7FEB" w:rsidP="00FE7FEB">
      <w:pPr>
        <w:rPr>
          <w:bCs/>
        </w:rPr>
      </w:pPr>
      <w:r w:rsidRPr="00822B0A">
        <w:rPr>
          <w:bCs/>
        </w:rPr>
        <w:t>Opinions are provided to the service units of the Authority before the regulatory procedures such as legislation preparations and procedures which may cause disputes or may bind the Authority.  Apart from our service units, opinions are also given to the Prime Ministry, Ministries and other public institutions and organizations.</w:t>
      </w:r>
    </w:p>
    <w:p w:rsidR="00FE7FEB" w:rsidRDefault="00FE7FEB" w:rsidP="00FE7FEB">
      <w:r>
        <w:t>In this context;</w:t>
      </w:r>
    </w:p>
    <w:p w:rsidR="00FE7FEB" w:rsidRDefault="00FE7FEB" w:rsidP="00E37E90">
      <w:pPr>
        <w:pStyle w:val="ListeParagraf"/>
        <w:numPr>
          <w:ilvl w:val="0"/>
          <w:numId w:val="13"/>
        </w:numPr>
        <w:spacing w:after="200" w:line="276" w:lineRule="auto"/>
      </w:pPr>
      <w:r w:rsidRPr="00EF44F9">
        <w:t xml:space="preserve">137 legal opinions were </w:t>
      </w:r>
      <w:r>
        <w:t>given</w:t>
      </w:r>
      <w:r w:rsidRPr="00EF44F9">
        <w:t xml:space="preserve"> in 2018.</w:t>
      </w:r>
    </w:p>
    <w:p w:rsidR="00FE7FEB" w:rsidRDefault="00FE7FEB" w:rsidP="00E37E90">
      <w:pPr>
        <w:pStyle w:val="ListeParagraf"/>
        <w:numPr>
          <w:ilvl w:val="0"/>
          <w:numId w:val="13"/>
        </w:numPr>
        <w:spacing w:after="200" w:line="276" w:lineRule="auto"/>
      </w:pPr>
      <w:r w:rsidRPr="00EF44F9">
        <w:t xml:space="preserve">As of 31.12.2018, a total of 2,621 legal opinions have been </w:t>
      </w:r>
      <w:r>
        <w:t>given</w:t>
      </w:r>
      <w:r w:rsidRPr="00EF44F9">
        <w:t>.</w:t>
      </w:r>
    </w:p>
    <w:p w:rsidR="00FE7FEB" w:rsidRDefault="00FE7FEB" w:rsidP="00FE7FEB"/>
    <w:p w:rsidR="00FE7FEB" w:rsidRPr="00216EDE" w:rsidRDefault="00FE7FEB" w:rsidP="00216EDE">
      <w:pPr>
        <w:pStyle w:val="Balk5"/>
        <w:rPr>
          <w:rStyle w:val="Gl"/>
          <w:b/>
          <w:bCs w:val="0"/>
        </w:rPr>
      </w:pPr>
      <w:bookmarkStart w:id="326" w:name="_Toc512874183"/>
      <w:bookmarkStart w:id="327" w:name="_Toc12958529"/>
      <w:r w:rsidRPr="00216EDE">
        <w:rPr>
          <w:rStyle w:val="Gl"/>
          <w:b/>
          <w:bCs w:val="0"/>
        </w:rPr>
        <w:t>Table 8.7: Dispersion of opinions given in 201</w:t>
      </w:r>
      <w:bookmarkEnd w:id="326"/>
      <w:r w:rsidRPr="00216EDE">
        <w:rPr>
          <w:rStyle w:val="Gl"/>
          <w:b/>
          <w:bCs w:val="0"/>
        </w:rPr>
        <w:t>8</w:t>
      </w:r>
      <w:bookmarkEnd w:id="327"/>
    </w:p>
    <w:tbl>
      <w:tblPr>
        <w:tblW w:w="910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6660"/>
        <w:gridCol w:w="1220"/>
        <w:gridCol w:w="1220"/>
      </w:tblGrid>
      <w:tr w:rsidR="00FE7FEB" w:rsidRPr="00171959" w:rsidTr="00D816E6">
        <w:trPr>
          <w:trHeight w:val="525"/>
          <w:jc w:val="center"/>
        </w:trPr>
        <w:tc>
          <w:tcPr>
            <w:tcW w:w="6660" w:type="dxa"/>
            <w:shd w:val="clear" w:color="auto" w:fill="6E9ECA"/>
            <w:vAlign w:val="center"/>
            <w:hideMark/>
          </w:tcPr>
          <w:p w:rsidR="00FE7FEB" w:rsidRPr="00171959" w:rsidRDefault="00FE7FEB" w:rsidP="00D816E6">
            <w:pPr>
              <w:spacing w:after="0" w:line="240" w:lineRule="auto"/>
              <w:ind w:firstLineChars="100" w:firstLine="221"/>
              <w:rPr>
                <w:rFonts w:eastAsia="Times New Roman"/>
                <w:b/>
                <w:bCs/>
                <w:color w:val="FFFFFF" w:themeColor="background1"/>
                <w:lang w:eastAsia="tr-TR"/>
              </w:rPr>
            </w:pPr>
            <w:r w:rsidRPr="00171959">
              <w:rPr>
                <w:rFonts w:eastAsia="Times New Roman"/>
                <w:b/>
                <w:bCs/>
                <w:color w:val="FFFFFF" w:themeColor="background1"/>
                <w:lang w:eastAsia="tr-TR"/>
              </w:rPr>
              <w:t>Opinions were given to</w:t>
            </w:r>
          </w:p>
        </w:tc>
        <w:tc>
          <w:tcPr>
            <w:tcW w:w="1220" w:type="dxa"/>
            <w:shd w:val="clear" w:color="auto" w:fill="6E9ECA"/>
            <w:vAlign w:val="center"/>
            <w:hideMark/>
          </w:tcPr>
          <w:p w:rsidR="00FE7FEB" w:rsidRPr="00171959" w:rsidRDefault="00FE7FEB" w:rsidP="00D816E6">
            <w:pPr>
              <w:spacing w:after="0" w:line="240" w:lineRule="auto"/>
              <w:jc w:val="center"/>
              <w:rPr>
                <w:rFonts w:eastAsia="Times New Roman"/>
                <w:b/>
                <w:bCs/>
                <w:color w:val="FFFFFF" w:themeColor="background1"/>
                <w:lang w:eastAsia="tr-TR"/>
              </w:rPr>
            </w:pPr>
            <w:r w:rsidRPr="00171959">
              <w:rPr>
                <w:rFonts w:eastAsia="Times New Roman"/>
                <w:b/>
                <w:bCs/>
                <w:color w:val="FFFFFF" w:themeColor="background1"/>
                <w:lang w:eastAsia="tr-TR"/>
              </w:rPr>
              <w:t>No of opinions</w:t>
            </w:r>
          </w:p>
        </w:tc>
        <w:tc>
          <w:tcPr>
            <w:tcW w:w="1220" w:type="dxa"/>
            <w:shd w:val="clear" w:color="auto" w:fill="6E9ECA"/>
            <w:vAlign w:val="center"/>
            <w:hideMark/>
          </w:tcPr>
          <w:p w:rsidR="00FE7FEB" w:rsidRPr="00171959" w:rsidRDefault="00FE7FEB" w:rsidP="00D816E6">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Share</w:t>
            </w:r>
            <w:r w:rsidRPr="00171959">
              <w:rPr>
                <w:rFonts w:eastAsia="Times New Roman"/>
                <w:b/>
                <w:bCs/>
                <w:color w:val="FFFFFF" w:themeColor="background1"/>
                <w:lang w:eastAsia="tr-TR"/>
              </w:rPr>
              <w:t xml:space="preserve"> (%)</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Electricity Market Department</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7</w:t>
            </w:r>
            <w:r>
              <w:rPr>
                <w:rFonts w:eastAsia="Times New Roman"/>
                <w:color w:val="000000"/>
                <w:lang w:eastAsia="tr-TR"/>
              </w:rPr>
              <w:t>94</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3</w:t>
            </w:r>
            <w:r>
              <w:rPr>
                <w:rFonts w:eastAsia="Times New Roman"/>
                <w:color w:val="000000"/>
                <w:lang w:eastAsia="tr-TR"/>
              </w:rPr>
              <w:t>0</w:t>
            </w:r>
            <w:r w:rsidRPr="00171959">
              <w:rPr>
                <w:rFonts w:eastAsia="Times New Roman"/>
                <w:color w:val="000000"/>
                <w:lang w:eastAsia="tr-TR"/>
              </w:rPr>
              <w:t>,</w:t>
            </w:r>
            <w:r>
              <w:rPr>
                <w:rFonts w:eastAsia="Times New Roman"/>
                <w:color w:val="000000"/>
                <w:lang w:eastAsia="tr-TR"/>
              </w:rPr>
              <w:t>29</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Natural Gas Market Department</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4</w:t>
            </w:r>
            <w:r>
              <w:rPr>
                <w:rFonts w:eastAsia="Times New Roman"/>
                <w:color w:val="000000"/>
                <w:lang w:eastAsia="tr-TR"/>
              </w:rPr>
              <w:t>23</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16,</w:t>
            </w:r>
            <w:r>
              <w:rPr>
                <w:rFonts w:eastAsia="Times New Roman"/>
                <w:color w:val="000000"/>
                <w:lang w:eastAsia="tr-TR"/>
              </w:rPr>
              <w:t>14</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Petroleum Market Department</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Pr>
                <w:rFonts w:eastAsia="Times New Roman"/>
                <w:color w:val="000000"/>
                <w:lang w:eastAsia="tr-TR"/>
              </w:rPr>
              <w:t>516</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19,</w:t>
            </w:r>
            <w:r>
              <w:rPr>
                <w:rFonts w:eastAsia="Times New Roman"/>
                <w:color w:val="000000"/>
                <w:lang w:eastAsia="tr-TR"/>
              </w:rPr>
              <w:t>69</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Liquefied Petroleum Gases Market Department</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Pr>
                <w:rFonts w:eastAsia="Times New Roman"/>
                <w:color w:val="000000"/>
                <w:lang w:eastAsia="tr-TR"/>
              </w:rPr>
              <w:t>200</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7,</w:t>
            </w:r>
            <w:r>
              <w:rPr>
                <w:rFonts w:eastAsia="Times New Roman"/>
                <w:color w:val="000000"/>
                <w:lang w:eastAsia="tr-TR"/>
              </w:rPr>
              <w:t>63</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Expropriation Department</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2</w:t>
            </w:r>
            <w:r>
              <w:rPr>
                <w:rFonts w:eastAsia="Times New Roman"/>
                <w:color w:val="000000"/>
                <w:lang w:eastAsia="tr-TR"/>
              </w:rPr>
              <w:t>3</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0,8</w:t>
            </w:r>
            <w:r>
              <w:rPr>
                <w:rFonts w:eastAsia="Times New Roman"/>
                <w:color w:val="000000"/>
                <w:lang w:eastAsia="tr-TR"/>
              </w:rPr>
              <w:t>8</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AuditDepartment</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1</w:t>
            </w:r>
            <w:r>
              <w:rPr>
                <w:rFonts w:eastAsia="Times New Roman"/>
                <w:color w:val="000000"/>
                <w:lang w:eastAsia="tr-TR"/>
              </w:rPr>
              <w:t>98</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7,</w:t>
            </w:r>
            <w:r>
              <w:rPr>
                <w:rFonts w:eastAsia="Times New Roman"/>
                <w:color w:val="000000"/>
                <w:lang w:eastAsia="tr-TR"/>
              </w:rPr>
              <w:t>55</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Tariffs Department</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8</w:t>
            </w:r>
            <w:r>
              <w:rPr>
                <w:rFonts w:eastAsia="Times New Roman"/>
                <w:color w:val="000000"/>
                <w:lang w:eastAsia="tr-TR"/>
              </w:rPr>
              <w:t>9</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3,</w:t>
            </w:r>
            <w:r>
              <w:rPr>
                <w:rFonts w:eastAsia="Times New Roman"/>
                <w:color w:val="000000"/>
                <w:lang w:eastAsia="tr-TR"/>
              </w:rPr>
              <w:t>40</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 xml:space="preserve">Human Resources and Support Services Department </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10</w:t>
            </w:r>
            <w:r>
              <w:rPr>
                <w:rFonts w:eastAsia="Times New Roman"/>
                <w:color w:val="000000"/>
                <w:lang w:eastAsia="tr-TR"/>
              </w:rPr>
              <w:t>5</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4,0</w:t>
            </w:r>
            <w:r>
              <w:rPr>
                <w:rFonts w:eastAsia="Times New Roman"/>
                <w:color w:val="000000"/>
                <w:lang w:eastAsia="tr-TR"/>
              </w:rPr>
              <w:t>1</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Strategy Development Department</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1</w:t>
            </w:r>
            <w:r>
              <w:rPr>
                <w:rFonts w:eastAsia="Times New Roman"/>
                <w:color w:val="000000"/>
                <w:lang w:eastAsia="tr-TR"/>
              </w:rPr>
              <w:t>1</w:t>
            </w:r>
            <w:r w:rsidRPr="00171959">
              <w:rPr>
                <w:rFonts w:eastAsia="Times New Roman"/>
                <w:color w:val="000000"/>
                <w:lang w:eastAsia="tr-TR"/>
              </w:rPr>
              <w:t>2</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4,</w:t>
            </w:r>
            <w:r>
              <w:rPr>
                <w:rFonts w:eastAsia="Times New Roman"/>
                <w:color w:val="000000"/>
                <w:lang w:eastAsia="tr-TR"/>
              </w:rPr>
              <w:t>27</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 xml:space="preserve">Special Bureau for the Board </w:t>
            </w:r>
          </w:p>
        </w:tc>
        <w:tc>
          <w:tcPr>
            <w:tcW w:w="1220" w:type="dxa"/>
            <w:shd w:val="clear" w:color="auto" w:fill="auto"/>
            <w:vAlign w:val="center"/>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4</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0,1</w:t>
            </w:r>
            <w:r>
              <w:rPr>
                <w:rFonts w:eastAsia="Times New Roman"/>
                <w:color w:val="000000"/>
                <w:lang w:eastAsia="tr-TR"/>
              </w:rPr>
              <w:t>5</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0"/>
              <w:rPr>
                <w:rFonts w:eastAsia="Times New Roman"/>
                <w:color w:val="000000"/>
                <w:lang w:eastAsia="tr-TR"/>
              </w:rPr>
            </w:pPr>
            <w:r w:rsidRPr="00171959">
              <w:rPr>
                <w:rFonts w:eastAsia="Times New Roman"/>
                <w:color w:val="000000"/>
                <w:lang w:eastAsia="tr-TR"/>
              </w:rPr>
              <w:t>Pr</w:t>
            </w:r>
            <w:r>
              <w:rPr>
                <w:rFonts w:eastAsia="Times New Roman"/>
                <w:color w:val="000000"/>
                <w:lang w:eastAsia="tr-TR"/>
              </w:rPr>
              <w:t>esidency</w:t>
            </w:r>
            <w:r w:rsidRPr="00171959">
              <w:rPr>
                <w:rFonts w:eastAsia="Times New Roman"/>
                <w:color w:val="000000"/>
                <w:lang w:eastAsia="tr-TR"/>
              </w:rPr>
              <w:t>, Ministries and Other State Institutions</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1</w:t>
            </w:r>
            <w:r>
              <w:rPr>
                <w:rFonts w:eastAsia="Times New Roman"/>
                <w:color w:val="000000"/>
                <w:lang w:eastAsia="tr-TR"/>
              </w:rPr>
              <w:t>57</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color w:val="000000"/>
                <w:lang w:eastAsia="tr-TR"/>
              </w:rPr>
            </w:pPr>
            <w:r w:rsidRPr="00171959">
              <w:rPr>
                <w:rFonts w:eastAsia="Times New Roman"/>
                <w:color w:val="000000"/>
                <w:lang w:eastAsia="tr-TR"/>
              </w:rPr>
              <w:t>5,</w:t>
            </w:r>
            <w:r>
              <w:rPr>
                <w:rFonts w:eastAsia="Times New Roman"/>
                <w:color w:val="000000"/>
                <w:lang w:eastAsia="tr-TR"/>
              </w:rPr>
              <w:t>99</w:t>
            </w:r>
          </w:p>
        </w:tc>
      </w:tr>
      <w:tr w:rsidR="00FE7FEB" w:rsidRPr="00171959" w:rsidTr="00D816E6">
        <w:trPr>
          <w:trHeight w:val="315"/>
          <w:jc w:val="center"/>
        </w:trPr>
        <w:tc>
          <w:tcPr>
            <w:tcW w:w="6660" w:type="dxa"/>
            <w:shd w:val="clear" w:color="auto" w:fill="auto"/>
            <w:vAlign w:val="center"/>
            <w:hideMark/>
          </w:tcPr>
          <w:p w:rsidR="00FE7FEB" w:rsidRPr="00171959" w:rsidRDefault="00FE7FEB" w:rsidP="00D816E6">
            <w:pPr>
              <w:spacing w:after="0" w:line="240" w:lineRule="auto"/>
              <w:ind w:firstLineChars="100" w:firstLine="221"/>
              <w:rPr>
                <w:rFonts w:eastAsia="Times New Roman"/>
                <w:b/>
                <w:bCs/>
                <w:color w:val="000000"/>
                <w:lang w:eastAsia="tr-TR"/>
              </w:rPr>
            </w:pPr>
            <w:r w:rsidRPr="00171959">
              <w:rPr>
                <w:rFonts w:eastAsia="Times New Roman"/>
                <w:b/>
                <w:bCs/>
                <w:color w:val="000000"/>
                <w:lang w:eastAsia="tr-TR"/>
              </w:rPr>
              <w:t>TOTAL</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b/>
                <w:color w:val="000000"/>
                <w:lang w:eastAsia="tr-TR"/>
              </w:rPr>
            </w:pPr>
            <w:r w:rsidRPr="00171959">
              <w:rPr>
                <w:rFonts w:eastAsia="Times New Roman"/>
                <w:b/>
                <w:color w:val="000000"/>
                <w:lang w:eastAsia="tr-TR"/>
              </w:rPr>
              <w:t>2.</w:t>
            </w:r>
            <w:r>
              <w:rPr>
                <w:rFonts w:eastAsia="Times New Roman"/>
                <w:b/>
                <w:color w:val="000000"/>
                <w:lang w:eastAsia="tr-TR"/>
              </w:rPr>
              <w:t>621</w:t>
            </w:r>
          </w:p>
        </w:tc>
        <w:tc>
          <w:tcPr>
            <w:tcW w:w="1220" w:type="dxa"/>
            <w:shd w:val="clear" w:color="auto" w:fill="auto"/>
            <w:noWrap/>
            <w:vAlign w:val="bottom"/>
            <w:hideMark/>
          </w:tcPr>
          <w:p w:rsidR="00FE7FEB" w:rsidRPr="00171959" w:rsidRDefault="00FE7FEB" w:rsidP="00D816E6">
            <w:pPr>
              <w:spacing w:after="0" w:line="240" w:lineRule="auto"/>
              <w:jc w:val="center"/>
              <w:rPr>
                <w:rFonts w:eastAsia="Times New Roman"/>
                <w:b/>
                <w:color w:val="000000"/>
                <w:lang w:eastAsia="tr-TR"/>
              </w:rPr>
            </w:pPr>
            <w:r w:rsidRPr="00171959">
              <w:rPr>
                <w:rFonts w:eastAsia="Times New Roman"/>
                <w:b/>
                <w:color w:val="000000"/>
                <w:lang w:eastAsia="tr-TR"/>
              </w:rPr>
              <w:t>100</w:t>
            </w:r>
          </w:p>
        </w:tc>
      </w:tr>
    </w:tbl>
    <w:p w:rsidR="00FE7FEB" w:rsidRPr="00F2341C" w:rsidRDefault="00FE7FEB" w:rsidP="00FE7FEB"/>
    <w:p w:rsidR="00FE7FEB" w:rsidRPr="00216EDE" w:rsidRDefault="00FE7FEB" w:rsidP="00216EDE">
      <w:pPr>
        <w:pStyle w:val="Balk5"/>
      </w:pPr>
      <w:bookmarkStart w:id="328" w:name="_Toc12958530"/>
      <w:r w:rsidRPr="00216EDE">
        <w:rPr>
          <w:rStyle w:val="Gl"/>
          <w:b/>
          <w:bCs w:val="0"/>
        </w:rPr>
        <w:t>Table 8.8: Dispersion of opinions given by years</w:t>
      </w:r>
      <w:bookmarkEnd w:id="328"/>
    </w:p>
    <w:tbl>
      <w:tblPr>
        <w:tblW w:w="9289" w:type="dxa"/>
        <w:tblInd w:w="-10" w:type="dxa"/>
        <w:tblCellMar>
          <w:left w:w="70" w:type="dxa"/>
          <w:right w:w="70" w:type="dxa"/>
        </w:tblCellMar>
        <w:tblLook w:val="04A0" w:firstRow="1" w:lastRow="0" w:firstColumn="1" w:lastColumn="0" w:noHBand="0" w:noVBand="1"/>
      </w:tblPr>
      <w:tblGrid>
        <w:gridCol w:w="3541"/>
        <w:gridCol w:w="958"/>
        <w:gridCol w:w="958"/>
        <w:gridCol w:w="958"/>
        <w:gridCol w:w="958"/>
        <w:gridCol w:w="958"/>
        <w:gridCol w:w="958"/>
      </w:tblGrid>
      <w:tr w:rsidR="00FE7FEB" w:rsidRPr="00947D59" w:rsidTr="00AF1093">
        <w:trPr>
          <w:trHeight w:val="283"/>
        </w:trPr>
        <w:tc>
          <w:tcPr>
            <w:tcW w:w="3829" w:type="dxa"/>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 xml:space="preserve">Opinions were given to </w:t>
            </w:r>
          </w:p>
        </w:tc>
        <w:tc>
          <w:tcPr>
            <w:tcW w:w="1820" w:type="dxa"/>
            <w:gridSpan w:val="2"/>
            <w:tcBorders>
              <w:top w:val="single" w:sz="8" w:space="0" w:color="BFBFBF"/>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2016</w:t>
            </w:r>
          </w:p>
        </w:tc>
        <w:tc>
          <w:tcPr>
            <w:tcW w:w="1820" w:type="dxa"/>
            <w:gridSpan w:val="2"/>
            <w:tcBorders>
              <w:top w:val="single" w:sz="8" w:space="0" w:color="BFBFBF"/>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2017</w:t>
            </w:r>
          </w:p>
        </w:tc>
        <w:tc>
          <w:tcPr>
            <w:tcW w:w="1820" w:type="dxa"/>
            <w:gridSpan w:val="2"/>
            <w:tcBorders>
              <w:top w:val="single" w:sz="8" w:space="0" w:color="BFBFBF"/>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2018</w:t>
            </w:r>
          </w:p>
        </w:tc>
      </w:tr>
      <w:tr w:rsidR="00FE7FEB" w:rsidRPr="00947D59" w:rsidTr="00AF1093">
        <w:trPr>
          <w:trHeight w:val="560"/>
        </w:trPr>
        <w:tc>
          <w:tcPr>
            <w:tcW w:w="3829" w:type="dxa"/>
            <w:vMerge/>
            <w:tcBorders>
              <w:top w:val="single" w:sz="8" w:space="0" w:color="BFBFBF"/>
              <w:left w:val="single" w:sz="8" w:space="0" w:color="BFBFBF"/>
              <w:bottom w:val="single" w:sz="8" w:space="0" w:color="BFBFBF"/>
              <w:right w:val="single" w:sz="8" w:space="0" w:color="BFBFBF"/>
            </w:tcBorders>
            <w:vAlign w:val="center"/>
            <w:hideMark/>
          </w:tcPr>
          <w:p w:rsidR="00FE7FEB" w:rsidRPr="00947D59" w:rsidRDefault="00FE7FEB" w:rsidP="00D816E6">
            <w:pPr>
              <w:spacing w:after="0" w:line="240" w:lineRule="auto"/>
              <w:rPr>
                <w:rFonts w:eastAsia="Times New Roman" w:cstheme="minorHAnsi"/>
                <w:b/>
                <w:bCs/>
                <w:color w:val="FFFFFF"/>
                <w:lang w:eastAsia="tr-TR"/>
              </w:rPr>
            </w:pPr>
          </w:p>
        </w:tc>
        <w:tc>
          <w:tcPr>
            <w:tcW w:w="910" w:type="dxa"/>
            <w:tcBorders>
              <w:top w:val="nil"/>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No of Opinions</w:t>
            </w:r>
          </w:p>
        </w:tc>
        <w:tc>
          <w:tcPr>
            <w:tcW w:w="910" w:type="dxa"/>
            <w:tcBorders>
              <w:top w:val="nil"/>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Share(%)</w:t>
            </w:r>
          </w:p>
        </w:tc>
        <w:tc>
          <w:tcPr>
            <w:tcW w:w="910" w:type="dxa"/>
            <w:tcBorders>
              <w:top w:val="nil"/>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No of Opinions</w:t>
            </w:r>
          </w:p>
        </w:tc>
        <w:tc>
          <w:tcPr>
            <w:tcW w:w="910" w:type="dxa"/>
            <w:tcBorders>
              <w:top w:val="nil"/>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Share(%)</w:t>
            </w:r>
          </w:p>
        </w:tc>
        <w:tc>
          <w:tcPr>
            <w:tcW w:w="910" w:type="dxa"/>
            <w:tcBorders>
              <w:top w:val="nil"/>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No of Opinions</w:t>
            </w:r>
          </w:p>
        </w:tc>
        <w:tc>
          <w:tcPr>
            <w:tcW w:w="910" w:type="dxa"/>
            <w:tcBorders>
              <w:top w:val="nil"/>
              <w:left w:val="nil"/>
              <w:bottom w:val="single" w:sz="8" w:space="0" w:color="BFBFBF"/>
              <w:right w:val="single" w:sz="8" w:space="0" w:color="BFBFBF"/>
            </w:tcBorders>
            <w:shd w:val="clear" w:color="000000" w:fill="6E9ECA"/>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Share(%)</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Electricity Market Department</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52</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25,62</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29</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16,48</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22</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16,06</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Natural Gas Market Department</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18</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8,87</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11</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6,25</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11</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8,03</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Petroleum Market Department</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61</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30,05</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45</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25,57</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31</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22,63</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Liquefied Petroleum Gases Department</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14</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6,90</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16</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9,09</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6</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4,38</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Expropriation Department</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3</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1,48</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3</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1,70</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0,73</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Audit Department</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18</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8,87</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22</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12,50</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15</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10,95</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Tariffs Department</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13</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6,40</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9</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5,11</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7</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5,11</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 xml:space="preserve">Human Resources and Support Services Department </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3</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1,48</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4</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2,27</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5</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3,65</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Strategy Development Department</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11</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5,42</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9</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5,11</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10</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7,3</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 xml:space="preserve">Presidency, Ministries and Other State Institutions </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10</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4,91</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color w:val="000000"/>
                <w:lang w:eastAsia="tr-TR"/>
              </w:rPr>
            </w:pPr>
            <w:r w:rsidRPr="00947D59">
              <w:rPr>
                <w:rFonts w:eastAsia="Times New Roman" w:cstheme="minorHAnsi"/>
                <w:color w:val="000000"/>
                <w:lang w:eastAsia="tr-TR"/>
              </w:rPr>
              <w:t>28</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15,92</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29</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color w:val="000000"/>
                <w:lang w:eastAsia="tr-TR"/>
              </w:rPr>
            </w:pPr>
            <w:r w:rsidRPr="00947D59">
              <w:rPr>
                <w:rFonts w:eastAsia="Times New Roman" w:cstheme="minorHAnsi"/>
                <w:color w:val="000000"/>
                <w:lang w:eastAsia="tr-TR"/>
              </w:rPr>
              <w:t>21,16</w:t>
            </w:r>
          </w:p>
        </w:tc>
      </w:tr>
      <w:tr w:rsidR="00FE7FEB" w:rsidRPr="00947D59" w:rsidTr="00AF1093">
        <w:trPr>
          <w:trHeight w:val="283"/>
        </w:trPr>
        <w:tc>
          <w:tcPr>
            <w:tcW w:w="3829" w:type="dxa"/>
            <w:tcBorders>
              <w:top w:val="nil"/>
              <w:left w:val="single" w:sz="8" w:space="0" w:color="BFBFBF"/>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b/>
                <w:bCs/>
                <w:color w:val="000000"/>
                <w:lang w:eastAsia="tr-TR"/>
              </w:rPr>
            </w:pPr>
            <w:r w:rsidRPr="00947D59">
              <w:rPr>
                <w:rFonts w:eastAsia="Times New Roman" w:cstheme="minorHAnsi"/>
                <w:b/>
                <w:bCs/>
                <w:color w:val="000000"/>
                <w:lang w:eastAsia="tr-TR"/>
              </w:rPr>
              <w:t>TOTAL</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right"/>
              <w:rPr>
                <w:rFonts w:eastAsia="Times New Roman" w:cstheme="minorHAnsi"/>
                <w:b/>
                <w:bCs/>
                <w:color w:val="000000"/>
                <w:lang w:eastAsia="tr-TR"/>
              </w:rPr>
            </w:pPr>
            <w:r w:rsidRPr="00947D59">
              <w:rPr>
                <w:rFonts w:eastAsia="Times New Roman" w:cstheme="minorHAnsi"/>
                <w:b/>
                <w:bCs/>
                <w:color w:val="000000"/>
                <w:lang w:eastAsia="tr-TR"/>
              </w:rPr>
              <w:t>203</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b/>
                <w:bCs/>
                <w:color w:val="000000"/>
                <w:lang w:eastAsia="tr-TR"/>
              </w:rPr>
            </w:pPr>
            <w:r w:rsidRPr="00947D59">
              <w:rPr>
                <w:rFonts w:eastAsia="Times New Roman" w:cstheme="minorHAnsi"/>
                <w:b/>
                <w:bCs/>
                <w:color w:val="000000"/>
                <w:lang w:eastAsia="tr-TR"/>
              </w:rPr>
              <w:t>100</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rPr>
                <w:rFonts w:eastAsia="Times New Roman" w:cstheme="minorHAnsi"/>
                <w:b/>
                <w:bCs/>
                <w:color w:val="000000"/>
                <w:lang w:eastAsia="tr-TR"/>
              </w:rPr>
            </w:pPr>
            <w:r w:rsidRPr="00947D59">
              <w:rPr>
                <w:rFonts w:eastAsia="Times New Roman" w:cstheme="minorHAnsi"/>
                <w:b/>
                <w:bCs/>
                <w:color w:val="000000"/>
                <w:lang w:eastAsia="tr-TR"/>
              </w:rPr>
              <w:t>176</w:t>
            </w:r>
          </w:p>
        </w:tc>
        <w:tc>
          <w:tcPr>
            <w:tcW w:w="910" w:type="dxa"/>
            <w:tcBorders>
              <w:top w:val="nil"/>
              <w:left w:val="nil"/>
              <w:bottom w:val="single" w:sz="8" w:space="0" w:color="BFBFBF"/>
              <w:right w:val="single" w:sz="8" w:space="0" w:color="BFBFBF"/>
            </w:tcBorders>
            <w:shd w:val="clear" w:color="auto" w:fill="auto"/>
            <w:noWrap/>
            <w:vAlign w:val="center"/>
            <w:hideMark/>
          </w:tcPr>
          <w:p w:rsidR="00FE7FEB" w:rsidRPr="00947D59" w:rsidRDefault="00FE7FEB" w:rsidP="00D816E6">
            <w:pPr>
              <w:spacing w:after="0" w:line="240" w:lineRule="auto"/>
              <w:jc w:val="center"/>
              <w:rPr>
                <w:rFonts w:eastAsia="Times New Roman" w:cstheme="minorHAnsi"/>
                <w:b/>
                <w:bCs/>
                <w:color w:val="000000"/>
                <w:lang w:eastAsia="tr-TR"/>
              </w:rPr>
            </w:pPr>
            <w:r w:rsidRPr="00947D59">
              <w:rPr>
                <w:rFonts w:eastAsia="Times New Roman" w:cstheme="minorHAnsi"/>
                <w:b/>
                <w:bCs/>
                <w:color w:val="000000"/>
                <w:lang w:eastAsia="tr-TR"/>
              </w:rPr>
              <w:t>100</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right"/>
              <w:rPr>
                <w:rFonts w:eastAsia="Times New Roman" w:cstheme="minorHAnsi"/>
                <w:b/>
                <w:bCs/>
                <w:color w:val="000000"/>
                <w:lang w:eastAsia="tr-TR"/>
              </w:rPr>
            </w:pPr>
            <w:r w:rsidRPr="00947D59">
              <w:rPr>
                <w:rFonts w:eastAsia="Times New Roman" w:cstheme="minorHAnsi"/>
                <w:b/>
                <w:bCs/>
                <w:color w:val="000000"/>
                <w:lang w:eastAsia="tr-TR"/>
              </w:rPr>
              <w:t>137</w:t>
            </w:r>
          </w:p>
        </w:tc>
        <w:tc>
          <w:tcPr>
            <w:tcW w:w="910" w:type="dxa"/>
            <w:tcBorders>
              <w:top w:val="nil"/>
              <w:left w:val="nil"/>
              <w:bottom w:val="single" w:sz="8" w:space="0" w:color="BFBFBF"/>
              <w:right w:val="single" w:sz="8" w:space="0" w:color="BFBFBF"/>
            </w:tcBorders>
            <w:shd w:val="clear" w:color="auto" w:fill="auto"/>
            <w:vAlign w:val="center"/>
            <w:hideMark/>
          </w:tcPr>
          <w:p w:rsidR="00FE7FEB" w:rsidRPr="00947D59" w:rsidRDefault="00FE7FEB" w:rsidP="00D816E6">
            <w:pPr>
              <w:spacing w:after="0" w:line="240" w:lineRule="auto"/>
              <w:jc w:val="center"/>
              <w:rPr>
                <w:rFonts w:eastAsia="Times New Roman" w:cstheme="minorHAnsi"/>
                <w:b/>
                <w:bCs/>
                <w:color w:val="000000"/>
                <w:lang w:eastAsia="tr-TR"/>
              </w:rPr>
            </w:pPr>
            <w:r w:rsidRPr="00947D59">
              <w:rPr>
                <w:rFonts w:eastAsia="Times New Roman" w:cstheme="minorHAnsi"/>
                <w:b/>
                <w:bCs/>
                <w:color w:val="000000"/>
                <w:lang w:eastAsia="tr-TR"/>
              </w:rPr>
              <w:t>100</w:t>
            </w:r>
          </w:p>
        </w:tc>
      </w:tr>
    </w:tbl>
    <w:p w:rsidR="00FE7FEB" w:rsidRPr="00947D59" w:rsidRDefault="00FE7FEB" w:rsidP="00FE7FEB">
      <w:pPr>
        <w:rPr>
          <w:rFonts w:cstheme="minorHAnsi"/>
        </w:rPr>
      </w:pPr>
    </w:p>
    <w:p w:rsidR="00FE7FEB" w:rsidRPr="00691CB6" w:rsidRDefault="00FE7FEB" w:rsidP="00216EDE">
      <w:pPr>
        <w:pStyle w:val="Balk5"/>
      </w:pPr>
      <w:bookmarkStart w:id="329" w:name="_Toc12958531"/>
      <w:r w:rsidRPr="00691CB6">
        <w:t>Figure 8.3: Distribution of Views by the Legal Department by Years</w:t>
      </w:r>
      <w:bookmarkEnd w:id="329"/>
    </w:p>
    <w:p w:rsidR="00FE7FEB" w:rsidRPr="00947D59" w:rsidRDefault="00FE7FEB" w:rsidP="001D239F">
      <w:r w:rsidRPr="00947D59">
        <w:rPr>
          <w:lang w:val="tr-TR" w:eastAsia="tr-TR"/>
        </w:rPr>
        <w:drawing>
          <wp:inline distT="0" distB="0" distL="0" distR="0" wp14:anchorId="3A3F5AF9" wp14:editId="2B91CCA3">
            <wp:extent cx="5746750" cy="3924300"/>
            <wp:effectExtent l="0" t="0" r="635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6750" cy="3924300"/>
                    </a:xfrm>
                    <a:prstGeom prst="rect">
                      <a:avLst/>
                    </a:prstGeom>
                    <a:noFill/>
                    <a:ln>
                      <a:noFill/>
                    </a:ln>
                  </pic:spPr>
                </pic:pic>
              </a:graphicData>
            </a:graphic>
          </wp:inline>
        </w:drawing>
      </w:r>
    </w:p>
    <w:p w:rsidR="00FE7FEB" w:rsidRPr="00947D59" w:rsidRDefault="00FE7FEB" w:rsidP="00FE7FEB">
      <w:pPr>
        <w:pStyle w:val="Balk1"/>
        <w:spacing w:before="0" w:after="120"/>
        <w:jc w:val="both"/>
        <w:rPr>
          <w:rFonts w:cstheme="minorHAnsi"/>
          <w:b w:val="0"/>
          <w:bCs/>
          <w:sz w:val="22"/>
          <w:szCs w:val="22"/>
        </w:rPr>
      </w:pPr>
    </w:p>
    <w:p w:rsidR="00FE7FEB" w:rsidRPr="00691CB6" w:rsidRDefault="00FE7FEB" w:rsidP="00691CB6">
      <w:pPr>
        <w:pStyle w:val="Balk1"/>
      </w:pPr>
      <w:bookmarkStart w:id="330" w:name="_Toc12956371"/>
      <w:r w:rsidRPr="00691CB6">
        <w:t>9. PROTECTING CONSUMERS’ RIGHTS</w:t>
      </w:r>
      <w:bookmarkEnd w:id="330"/>
    </w:p>
    <w:p w:rsidR="00FE7FEB" w:rsidRPr="00947D59" w:rsidRDefault="00FE7FEB" w:rsidP="00FE7FEB">
      <w:pPr>
        <w:spacing w:after="120" w:line="240" w:lineRule="auto"/>
        <w:jc w:val="both"/>
        <w:rPr>
          <w:rFonts w:cstheme="minorHAnsi"/>
        </w:rPr>
      </w:pPr>
      <w:r w:rsidRPr="00947D59">
        <w:rPr>
          <w:rFonts w:cstheme="minorHAnsi"/>
        </w:rPr>
        <w:t xml:space="preserve">Works are conducted to ensure the protection of consumer rights; to determine the standarts, prinicples and procedures fort he servises to be provided by the legal persons operating in the market, informing the public about the regulations and implementations on energy market and creating awareness. </w:t>
      </w:r>
    </w:p>
    <w:p w:rsidR="00FE7FEB" w:rsidRPr="00947D59" w:rsidRDefault="00FE7FEB" w:rsidP="00FE7FEB">
      <w:pPr>
        <w:spacing w:after="120" w:line="240" w:lineRule="auto"/>
        <w:jc w:val="both"/>
        <w:rPr>
          <w:rFonts w:cstheme="minorHAnsi"/>
        </w:rPr>
      </w:pPr>
      <w:r w:rsidRPr="00947D59">
        <w:rPr>
          <w:rFonts w:cstheme="minorHAnsi"/>
        </w:rPr>
        <w:t>In order to make the statistics of the complaints received to the institution more accurately, some improvements have been made in the IMS. Thus, various statistical data regarding the complaints received to the Authority are reported instantly.</w:t>
      </w:r>
    </w:p>
    <w:p w:rsidR="00FE7FEB" w:rsidRPr="00947D59" w:rsidRDefault="00FE7FEB" w:rsidP="00FE7FEB">
      <w:pPr>
        <w:spacing w:after="120" w:line="240" w:lineRule="auto"/>
        <w:jc w:val="both"/>
        <w:rPr>
          <w:rFonts w:cstheme="minorHAnsi"/>
        </w:rPr>
      </w:pPr>
      <w:r w:rsidRPr="00947D59">
        <w:rPr>
          <w:rFonts w:cstheme="minorHAnsi"/>
        </w:rPr>
        <w:t>The Authority has made updates on the internet page and provided more convenient access to the Consumer Section. The Consumer Section also includes information such as Internet addresses, call center phones, etc., owned by Electricity Distribution and Assigned Supply Companies and Natural Gas Distribution Companies.</w:t>
      </w:r>
    </w:p>
    <w:p w:rsidR="00FE7FEB" w:rsidRDefault="00FE7FEB" w:rsidP="00FE7FEB">
      <w:pPr>
        <w:spacing w:after="120" w:line="240" w:lineRule="auto"/>
        <w:jc w:val="both"/>
        <w:rPr>
          <w:rFonts w:cstheme="minorHAnsi"/>
        </w:rPr>
      </w:pPr>
      <w:r w:rsidRPr="00947D59">
        <w:rPr>
          <w:rFonts w:cstheme="minorHAnsi"/>
        </w:rPr>
        <w:t>Due to the gradually increasing number of complaints coming to the Agency and in order to to make it easier and faster to direct the complaints to the related parties, the address of the KEP has been imposed on the addressees and complaints have been submitted as an Electronic Correspondence Package (EYP) to their owners. In this way, customer complaints were directed to the address of the solution more quickly and the applicant was informed by sending SMS at every stage and ease of follow-up was provided on the internet page via ID number. Responses from Distribution Companies are provided on the internet page to be seen by the applicant. For applications not answered in time by the distribution companies, a warning message has been sent to the companies over the system.</w:t>
      </w:r>
    </w:p>
    <w:p w:rsidR="00FE7FEB" w:rsidRPr="00947D59" w:rsidRDefault="00FE7FEB" w:rsidP="00FE7FEB">
      <w:pPr>
        <w:spacing w:after="120" w:line="240" w:lineRule="auto"/>
        <w:jc w:val="both"/>
        <w:rPr>
          <w:rFonts w:cstheme="minorHAnsi"/>
        </w:rPr>
      </w:pPr>
    </w:p>
    <w:p w:rsidR="00FE7FEB" w:rsidRPr="00691CB6" w:rsidRDefault="00FE7FEB" w:rsidP="00691CB6">
      <w:pPr>
        <w:pStyle w:val="Balk2"/>
      </w:pPr>
      <w:bookmarkStart w:id="331" w:name="_Toc12956372"/>
      <w:r w:rsidRPr="00691CB6">
        <w:t>9.1.Creating and Developing Customer Awareness</w:t>
      </w:r>
      <w:bookmarkEnd w:id="331"/>
    </w:p>
    <w:p w:rsidR="00FE7FEB" w:rsidRPr="00947D59" w:rsidRDefault="00FE7FEB" w:rsidP="00FE7FEB">
      <w:pPr>
        <w:spacing w:after="120" w:line="240" w:lineRule="auto"/>
        <w:jc w:val="both"/>
        <w:rPr>
          <w:rFonts w:cstheme="minorHAnsi"/>
        </w:rPr>
      </w:pPr>
      <w:r w:rsidRPr="00947D59">
        <w:rPr>
          <w:rFonts w:cstheme="minorHAnsi"/>
        </w:rPr>
        <w:t>Within the context of studies on creating consumer awareness about regulations and applications related to energy market and rights and responsibilities of consumers; Consumer section is included on the institution website.</w:t>
      </w:r>
    </w:p>
    <w:p w:rsidR="00FE7FEB" w:rsidRPr="00947D59" w:rsidRDefault="00FE7FEB" w:rsidP="00FE7FEB">
      <w:pPr>
        <w:spacing w:after="120" w:line="240" w:lineRule="auto"/>
        <w:jc w:val="both"/>
        <w:rPr>
          <w:rFonts w:cstheme="minorHAnsi"/>
        </w:rPr>
      </w:pPr>
      <w:r w:rsidRPr="00947D59">
        <w:rPr>
          <w:rFonts w:cstheme="minorHAnsi"/>
        </w:rPr>
        <w:t>The Consumer Corner has been created to include some or all of the following headings on sector basis:</w:t>
      </w:r>
    </w:p>
    <w:p w:rsidR="00FE7FEB" w:rsidRPr="00947D59" w:rsidRDefault="00FE7FEB" w:rsidP="00E37E90">
      <w:pPr>
        <w:pStyle w:val="ListeParagraf"/>
        <w:numPr>
          <w:ilvl w:val="0"/>
          <w:numId w:val="12"/>
        </w:numPr>
        <w:spacing w:after="120" w:line="240" w:lineRule="auto"/>
        <w:jc w:val="both"/>
        <w:rPr>
          <w:rFonts w:cstheme="minorHAnsi"/>
        </w:rPr>
      </w:pPr>
      <w:r w:rsidRPr="00947D59">
        <w:rPr>
          <w:rFonts w:cstheme="minorHAnsi"/>
        </w:rPr>
        <w:t>Legislation (Legislation directly related to the consumers of the relevant market is included)</w:t>
      </w:r>
    </w:p>
    <w:p w:rsidR="00FE7FEB" w:rsidRPr="00947D59" w:rsidRDefault="00FE7FEB" w:rsidP="00E37E90">
      <w:pPr>
        <w:pStyle w:val="ListeParagraf"/>
        <w:numPr>
          <w:ilvl w:val="0"/>
          <w:numId w:val="11"/>
        </w:numPr>
        <w:spacing w:after="120" w:line="240" w:lineRule="auto"/>
        <w:jc w:val="both"/>
        <w:rPr>
          <w:rFonts w:cstheme="minorHAnsi"/>
        </w:rPr>
      </w:pPr>
      <w:r w:rsidRPr="00947D59">
        <w:rPr>
          <w:rFonts w:cstheme="minorHAnsi"/>
        </w:rPr>
        <w:t>Market and Consumer Rights (Market structure and presentation of what basic consumer rights are in this market)</w:t>
      </w:r>
    </w:p>
    <w:p w:rsidR="00FE7FEB" w:rsidRPr="00947D59" w:rsidRDefault="00FE7FEB" w:rsidP="00E37E90">
      <w:pPr>
        <w:pStyle w:val="ListeParagraf"/>
        <w:numPr>
          <w:ilvl w:val="0"/>
          <w:numId w:val="11"/>
        </w:numPr>
        <w:spacing w:after="120" w:line="240" w:lineRule="auto"/>
        <w:jc w:val="both"/>
        <w:rPr>
          <w:rFonts w:cstheme="minorHAnsi"/>
        </w:rPr>
      </w:pPr>
      <w:r w:rsidRPr="00947D59">
        <w:rPr>
          <w:rFonts w:cstheme="minorHAnsi"/>
        </w:rPr>
        <w:t>Consumer Guide and Frequently Asked Questions (Includes consumer responses to frequently asked questions and explanations about the use of consumer rights)</w:t>
      </w:r>
    </w:p>
    <w:p w:rsidR="00FE7FEB" w:rsidRPr="00947D59" w:rsidRDefault="00FE7FEB" w:rsidP="00E37E90">
      <w:pPr>
        <w:pStyle w:val="ListeParagraf"/>
        <w:numPr>
          <w:ilvl w:val="0"/>
          <w:numId w:val="11"/>
        </w:numPr>
        <w:spacing w:after="120" w:line="240" w:lineRule="auto"/>
        <w:jc w:val="both"/>
        <w:rPr>
          <w:rFonts w:cstheme="minorHAnsi"/>
        </w:rPr>
      </w:pPr>
      <w:r w:rsidRPr="00947D59">
        <w:rPr>
          <w:rFonts w:cstheme="minorHAnsi"/>
        </w:rPr>
        <w:t>National tariffs of past periods and other country implementations (prices applied to non-eligible consumers in Electricity Market and prices applied in other countries, direct access was given to prices applied by Natural Gas Distribution Companies)</w:t>
      </w:r>
    </w:p>
    <w:p w:rsidR="00FE7FEB" w:rsidRPr="00947D59" w:rsidRDefault="00FE7FEB" w:rsidP="00E37E90">
      <w:pPr>
        <w:pStyle w:val="ListeParagraf"/>
        <w:numPr>
          <w:ilvl w:val="0"/>
          <w:numId w:val="11"/>
        </w:numPr>
        <w:spacing w:after="120" w:line="240" w:lineRule="auto"/>
        <w:jc w:val="both"/>
        <w:rPr>
          <w:rFonts w:cstheme="minorHAnsi"/>
        </w:rPr>
      </w:pPr>
      <w:r w:rsidRPr="00947D59">
        <w:rPr>
          <w:rFonts w:cstheme="minorHAnsi"/>
        </w:rPr>
        <w:t>Invoice Calculation Module (included in the price module which allows Electricity consumers to perform billing checks)</w:t>
      </w:r>
    </w:p>
    <w:p w:rsidR="00FE7FEB" w:rsidRPr="00947D59" w:rsidRDefault="00FE7FEB" w:rsidP="00E37E90">
      <w:pPr>
        <w:pStyle w:val="ListeParagraf"/>
        <w:numPr>
          <w:ilvl w:val="0"/>
          <w:numId w:val="11"/>
        </w:numPr>
        <w:spacing w:after="120" w:line="240" w:lineRule="auto"/>
        <w:jc w:val="both"/>
        <w:rPr>
          <w:rFonts w:cstheme="minorHAnsi"/>
        </w:rPr>
      </w:pPr>
      <w:r w:rsidRPr="00947D59">
        <w:rPr>
          <w:rFonts w:cstheme="minorHAnsi"/>
        </w:rPr>
        <w:t>Communication Addresses of Distribution Companies (including Electricity and Natural Gas Distribution Companies' Web Address, Call Center, Request / Complaint and e-mail addresses)</w:t>
      </w:r>
    </w:p>
    <w:p w:rsidR="00FE7FEB" w:rsidRPr="00947D59" w:rsidRDefault="00FE7FEB" w:rsidP="00E37E90">
      <w:pPr>
        <w:pStyle w:val="ListeParagraf"/>
        <w:numPr>
          <w:ilvl w:val="0"/>
          <w:numId w:val="11"/>
        </w:numPr>
        <w:spacing w:after="120" w:line="240" w:lineRule="auto"/>
        <w:jc w:val="both"/>
        <w:rPr>
          <w:rFonts w:cstheme="minorHAnsi"/>
        </w:rPr>
      </w:pPr>
      <w:r w:rsidRPr="00947D59">
        <w:rPr>
          <w:rFonts w:cstheme="minorHAnsi"/>
        </w:rPr>
        <w:t>Contact Addresses of the Assigned Supply Companies (includes the Web address, Call Center, Request / Complaint and e-mail addresses of the Companies)</w:t>
      </w:r>
    </w:p>
    <w:p w:rsidR="00FE7FEB" w:rsidRPr="00947D59" w:rsidRDefault="00FE7FEB" w:rsidP="00E37E90">
      <w:pPr>
        <w:pStyle w:val="ListeParagraf"/>
        <w:numPr>
          <w:ilvl w:val="0"/>
          <w:numId w:val="11"/>
        </w:numPr>
        <w:spacing w:after="120" w:line="240" w:lineRule="auto"/>
        <w:jc w:val="both"/>
        <w:rPr>
          <w:rFonts w:cstheme="minorHAnsi"/>
        </w:rPr>
      </w:pPr>
      <w:r w:rsidRPr="00947D59">
        <w:rPr>
          <w:rFonts w:cstheme="minorHAnsi"/>
        </w:rPr>
        <w:t>Complaints and Information Acquisition (The consumer has been given an active module to respond to complaints and information requests)</w:t>
      </w:r>
    </w:p>
    <w:p w:rsidR="00FE7FEB" w:rsidRPr="00947D59" w:rsidRDefault="00FE7FEB" w:rsidP="00FE7FEB">
      <w:pPr>
        <w:spacing w:after="120" w:line="240" w:lineRule="auto"/>
        <w:jc w:val="both"/>
        <w:rPr>
          <w:rFonts w:cstheme="minorHAnsi"/>
        </w:rPr>
      </w:pPr>
      <w:r w:rsidRPr="00947D59">
        <w:rPr>
          <w:rFonts w:cstheme="minorHAnsi"/>
        </w:rPr>
        <w:t>The application module has been renewed via the website about consumer complaints and in the applications made through T.C identity, the application is sent to the client by sending SMS and the applicant is able to follow the website.</w:t>
      </w:r>
    </w:p>
    <w:p w:rsidR="00FE7FEB" w:rsidRPr="00947D59" w:rsidRDefault="00FE7FEB" w:rsidP="00FE7FEB">
      <w:pPr>
        <w:spacing w:after="120" w:line="240" w:lineRule="auto"/>
        <w:jc w:val="both"/>
        <w:rPr>
          <w:rFonts w:cstheme="minorHAnsi"/>
        </w:rPr>
      </w:pPr>
      <w:r w:rsidRPr="00947D59">
        <w:rPr>
          <w:rFonts w:cstheme="minorHAnsi"/>
        </w:rPr>
        <w:t>In order to protect consumer rights, the Authority has published an energy guide for consumers and a manual for LPG consumers. In the Energy Guide for Consumers, a wide range of issues have been answered, ranging from the requirements for subscription procedures to the legal remedies that the fuel station officer can put in place of gasoline instead of diesel. In the LPG Consumer's Handbook, information is provided as a reference source for LPG users and sector representatives, which will help LPG consumers to learn more about the products and LPG-fueled devices they use.</w:t>
      </w:r>
    </w:p>
    <w:p w:rsidR="00FE7FEB" w:rsidRPr="00947D59" w:rsidRDefault="00FE7FEB" w:rsidP="00FE7FEB">
      <w:pPr>
        <w:pStyle w:val="Balk2"/>
        <w:spacing w:before="0" w:after="120" w:line="240" w:lineRule="auto"/>
        <w:rPr>
          <w:rFonts w:cstheme="minorHAnsi"/>
          <w:b w:val="0"/>
          <w:bCs/>
          <w:sz w:val="22"/>
          <w:szCs w:val="22"/>
        </w:rPr>
      </w:pPr>
    </w:p>
    <w:p w:rsidR="00FE7FEB" w:rsidRPr="00691CB6" w:rsidRDefault="00FE7FEB" w:rsidP="00691CB6">
      <w:pPr>
        <w:pStyle w:val="Balk2"/>
      </w:pPr>
      <w:bookmarkStart w:id="332" w:name="_Toc12956373"/>
      <w:r w:rsidRPr="00691CB6">
        <w:t>9.2.Evaluation of Consumer complaints</w:t>
      </w:r>
      <w:bookmarkEnd w:id="332"/>
    </w:p>
    <w:p w:rsidR="00FE7FEB" w:rsidRPr="00947D59" w:rsidRDefault="00FE7FEB" w:rsidP="00FE7FEB">
      <w:pPr>
        <w:spacing w:after="120" w:line="240" w:lineRule="auto"/>
        <w:jc w:val="both"/>
        <w:rPr>
          <w:rFonts w:cstheme="minorHAnsi"/>
        </w:rPr>
      </w:pPr>
      <w:r w:rsidRPr="00947D59">
        <w:rPr>
          <w:rFonts w:cstheme="minorHAnsi"/>
        </w:rPr>
        <w:t xml:space="preserve">The licensees are obliged to quickly resolve and / or to make arrangements for resolution of  the complaints and denunciations related to the subjects of activity while ensuring compliance with the obligations set forth in the legislation in relation to consumers and users. </w:t>
      </w:r>
    </w:p>
    <w:p w:rsidR="00FE7FEB" w:rsidRPr="00947D59" w:rsidRDefault="00FE7FEB" w:rsidP="00FE7FEB">
      <w:pPr>
        <w:spacing w:after="120" w:line="240" w:lineRule="auto"/>
        <w:jc w:val="both"/>
        <w:rPr>
          <w:rFonts w:cstheme="minorHAnsi"/>
        </w:rPr>
      </w:pPr>
      <w:r w:rsidRPr="00947D59">
        <w:rPr>
          <w:rFonts w:cstheme="minorHAnsi"/>
        </w:rPr>
        <w:t>Consumers are entitled to apply to the Authority if they do not receive a satisfactory or sufficient answer to the application made by the service companies. In this way, the applications reaching the Authority are taken into consideration with the correspondence with the related legal entity and examined and concluded within the scope of the legislation.</w:t>
      </w:r>
    </w:p>
    <w:p w:rsidR="00FE7FEB" w:rsidRPr="00947D59" w:rsidRDefault="00FE7FEB" w:rsidP="00FE7FEB">
      <w:pPr>
        <w:pStyle w:val="nor"/>
        <w:spacing w:after="120"/>
        <w:rPr>
          <w:rFonts w:asciiTheme="minorHAnsi" w:eastAsia="Calibri" w:hAnsiTheme="minorHAnsi" w:cstheme="minorHAnsi"/>
          <w:sz w:val="22"/>
          <w:szCs w:val="22"/>
          <w:lang w:val="en-GB" w:eastAsia="en-US"/>
        </w:rPr>
      </w:pPr>
      <w:r w:rsidRPr="00947D59">
        <w:rPr>
          <w:rFonts w:asciiTheme="minorHAnsi" w:eastAsia="Calibri" w:hAnsiTheme="minorHAnsi" w:cstheme="minorHAnsi"/>
          <w:sz w:val="22"/>
          <w:szCs w:val="22"/>
          <w:lang w:val="en-GB" w:eastAsia="en-US"/>
        </w:rPr>
        <w:t>It is important that the means of finding consumers and their claims in complaints and complaints are clear, simple and easy, in the context of monitoring the obligations of licensees operating on the market within the framework of the relevant legislation and ensuring that the necessary arrangements are made quickly.</w:t>
      </w:r>
    </w:p>
    <w:p w:rsidR="00FE7FEB" w:rsidRPr="00947D59" w:rsidRDefault="00FE7FEB" w:rsidP="00FE7FEB">
      <w:pPr>
        <w:spacing w:after="120" w:line="240" w:lineRule="auto"/>
        <w:jc w:val="both"/>
        <w:rPr>
          <w:rFonts w:cstheme="minorHAnsi"/>
        </w:rPr>
      </w:pPr>
      <w:r w:rsidRPr="00947D59">
        <w:rPr>
          <w:rFonts w:cstheme="minorHAnsi"/>
        </w:rPr>
        <w:t>In this frame, studies are continuing to communicate the complaints, which are transmitted from different channels by our Agency, to the related party quickly, to monitor the resolution of the complaints and to carry out audits if necessary.</w:t>
      </w:r>
    </w:p>
    <w:p w:rsidR="00FE7FEB" w:rsidRPr="00947D59" w:rsidRDefault="00FE7FEB" w:rsidP="00FE7FEB">
      <w:pPr>
        <w:pStyle w:val="Balk3"/>
        <w:spacing w:before="0" w:after="120" w:line="240" w:lineRule="auto"/>
        <w:rPr>
          <w:rFonts w:cstheme="minorHAnsi"/>
          <w:b w:val="0"/>
          <w:bCs/>
          <w:color w:val="000000" w:themeColor="text1"/>
          <w:sz w:val="22"/>
          <w:szCs w:val="22"/>
        </w:rPr>
      </w:pPr>
    </w:p>
    <w:p w:rsidR="00FE7FEB" w:rsidRPr="00691CB6" w:rsidRDefault="00FE7FEB" w:rsidP="00691CB6">
      <w:pPr>
        <w:pStyle w:val="Balk3"/>
      </w:pPr>
      <w:bookmarkStart w:id="333" w:name="_Toc12956374"/>
      <w:r w:rsidRPr="00691CB6">
        <w:t>9.2.1. Information Acquisition/Complaint numbers and channels</w:t>
      </w:r>
      <w:bookmarkEnd w:id="333"/>
    </w:p>
    <w:p w:rsidR="00FE7FEB" w:rsidRPr="00947D59" w:rsidRDefault="00FE7FEB" w:rsidP="00FE7FEB">
      <w:pPr>
        <w:rPr>
          <w:rFonts w:cstheme="minorHAnsi"/>
        </w:rPr>
      </w:pPr>
      <w:r w:rsidRPr="00947D59">
        <w:rPr>
          <w:rFonts w:cstheme="minorHAnsi"/>
        </w:rPr>
        <w:t>In 2018, 69.666 notifications were processed by the related departments under the title of Complaint that includes “Complaint”, “Legislation / Suggestion”, “Not in the Field of the Subject Institution” and“ Other ”and a total of 71,266 notifications were processed, 1,600 of which were received under the heading of Information Retrieval. The percentage distribution of the notifications processed under the complaint heading by months are given below.</w:t>
      </w:r>
    </w:p>
    <w:p w:rsidR="00FE7FEB" w:rsidRPr="00947D59" w:rsidRDefault="00FE7FEB" w:rsidP="00216EDE">
      <w:pPr>
        <w:pStyle w:val="Balk5"/>
      </w:pPr>
      <w:r w:rsidRPr="00947D59">
        <w:tab/>
      </w:r>
      <w:r w:rsidRPr="00947D59">
        <w:tab/>
      </w:r>
      <w:r w:rsidRPr="00947D59">
        <w:tab/>
        <w:t xml:space="preserve">      </w:t>
      </w:r>
      <w:bookmarkStart w:id="334" w:name="_Toc12958532"/>
      <w:r w:rsidRPr="00947D59">
        <w:t>Figure 9.1: Percentage distribution of notifications processed under the complaint heading by months</w:t>
      </w:r>
      <w:bookmarkEnd w:id="334"/>
    </w:p>
    <w:p w:rsidR="00FE7FEB" w:rsidRPr="00947D59" w:rsidRDefault="00FE7FEB" w:rsidP="00691CB6">
      <w:pPr>
        <w:ind w:firstLine="708"/>
        <w:rPr>
          <w:rFonts w:cstheme="minorHAnsi"/>
        </w:rPr>
      </w:pPr>
      <w:r w:rsidRPr="00947D59">
        <w:rPr>
          <w:rFonts w:cstheme="minorHAnsi"/>
          <w:lang w:val="tr-TR" w:eastAsia="tr-TR"/>
        </w:rPr>
        <w:drawing>
          <wp:inline distT="0" distB="0" distL="0" distR="0" wp14:anchorId="13645C50" wp14:editId="0C362D67">
            <wp:extent cx="5805756" cy="2721779"/>
            <wp:effectExtent l="0" t="0" r="5080" b="254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9876" cy="2733087"/>
                    </a:xfrm>
                    <a:prstGeom prst="rect">
                      <a:avLst/>
                    </a:prstGeom>
                    <a:noFill/>
                    <a:ln>
                      <a:noFill/>
                    </a:ln>
                  </pic:spPr>
                </pic:pic>
              </a:graphicData>
            </a:graphic>
          </wp:inline>
        </w:drawing>
      </w:r>
    </w:p>
    <w:p w:rsidR="00FE7FEB" w:rsidRPr="00947D59" w:rsidRDefault="00FE7FEB" w:rsidP="00FE7FEB">
      <w:pPr>
        <w:rPr>
          <w:rFonts w:cstheme="minorHAnsi"/>
        </w:rPr>
      </w:pPr>
      <w:r w:rsidRPr="00947D59">
        <w:rPr>
          <w:rFonts w:cstheme="minorHAnsi"/>
        </w:rPr>
        <w:t>Looking at the monthly realizations of the notifications under the complaint heading, it is seen that the biggest share belongs to December with 12.53%, followed by November with 11.45, March with 9.44 and April with 8.67.</w:t>
      </w:r>
    </w:p>
    <w:p w:rsidR="00FE7FEB" w:rsidRPr="00947D59" w:rsidRDefault="00FE7FEB" w:rsidP="00FE7FEB">
      <w:pPr>
        <w:rPr>
          <w:rFonts w:cstheme="minorHAnsi"/>
        </w:rPr>
      </w:pPr>
      <w:r w:rsidRPr="00947D59">
        <w:rPr>
          <w:rFonts w:cstheme="minorHAnsi"/>
        </w:rPr>
        <w:t xml:space="preserve">CIMER(BIMER), Ministry, EMRA’s web page (Form) and EMRA’s general document channels are used when notifications are delivered to our Authority. In 2018, 69,666 applications were submitted to our Authority, using all channels. CIMER(including BIMER) applications were 58.884 (84%), application forms were 9.843 (14%), applications with MENR channel were 468 and applications with general document were 471. </w:t>
      </w:r>
    </w:p>
    <w:p w:rsidR="00FE7FEB" w:rsidRPr="00947D59" w:rsidRDefault="00FE7FEB" w:rsidP="00FE7FEB">
      <w:pPr>
        <w:rPr>
          <w:rFonts w:cstheme="minorHAnsi"/>
        </w:rPr>
      </w:pPr>
      <w:r w:rsidRPr="00947D59">
        <w:rPr>
          <w:rFonts w:cstheme="minorHAnsi"/>
        </w:rPr>
        <w:t>In 2018, 1.600 Information Request applications were made to the Institution. The total number of complaints and information applications is 71.266.</w:t>
      </w:r>
    </w:p>
    <w:p w:rsidR="00FE7FEB" w:rsidRPr="00947D59" w:rsidRDefault="00FE7FEB" w:rsidP="00FE7FEB">
      <w:pPr>
        <w:rPr>
          <w:rFonts w:cstheme="minorHAnsi"/>
        </w:rPr>
      </w:pPr>
      <w:r w:rsidRPr="00947D59">
        <w:rPr>
          <w:rFonts w:cstheme="minorHAnsi"/>
        </w:rPr>
        <w:t>In 2018, 58,923 applications were sent to related companies for consideration and as required. 11,520 applications were responded to as consumer units through the EDMS.</w:t>
      </w:r>
    </w:p>
    <w:p w:rsidR="00FE7FEB" w:rsidRPr="00947D59" w:rsidRDefault="00FE7FEB" w:rsidP="00FE7FEB">
      <w:pPr>
        <w:spacing w:after="120" w:line="240" w:lineRule="auto"/>
        <w:jc w:val="both"/>
        <w:rPr>
          <w:rFonts w:cstheme="minorHAnsi"/>
        </w:rPr>
      </w:pPr>
      <w:r w:rsidRPr="00947D59">
        <w:rPr>
          <w:rFonts w:cstheme="minorHAnsi"/>
        </w:rPr>
        <w:t>The percentage distribution of realizations according to complaint channels is also shown in the chart below.</w:t>
      </w:r>
    </w:p>
    <w:p w:rsidR="00FE7FEB" w:rsidRPr="00947D59" w:rsidRDefault="00FE7FEB" w:rsidP="00FE7FEB">
      <w:pPr>
        <w:spacing w:after="120" w:line="240" w:lineRule="auto"/>
        <w:jc w:val="both"/>
        <w:rPr>
          <w:rFonts w:cstheme="minorHAnsi"/>
        </w:rPr>
      </w:pPr>
    </w:p>
    <w:p w:rsidR="00FE7FEB" w:rsidRPr="00947D59" w:rsidRDefault="00FE7FEB" w:rsidP="00216EDE">
      <w:pPr>
        <w:pStyle w:val="Balk5"/>
      </w:pPr>
      <w:r w:rsidRPr="00947D59">
        <w:t xml:space="preserve">   </w:t>
      </w:r>
      <w:bookmarkStart w:id="335" w:name="_Toc12958533"/>
      <w:r w:rsidRPr="00947D59">
        <w:t>Figure 9.2: Percentage Distribution of Complaint Notifications by Complaint Channels</w:t>
      </w:r>
      <w:bookmarkEnd w:id="335"/>
    </w:p>
    <w:p w:rsidR="00FE7FEB" w:rsidRPr="00947D59" w:rsidRDefault="00FE7FEB" w:rsidP="00691CB6">
      <w:pPr>
        <w:ind w:left="720" w:firstLine="708"/>
        <w:rPr>
          <w:rFonts w:cstheme="minorHAnsi"/>
        </w:rPr>
      </w:pPr>
      <w:r w:rsidRPr="00947D59">
        <w:rPr>
          <w:rFonts w:cstheme="minorHAnsi"/>
        </w:rPr>
        <w:t xml:space="preserve">        </w:t>
      </w:r>
      <w:r w:rsidRPr="00947D59">
        <w:rPr>
          <w:rFonts w:cstheme="minorHAnsi"/>
          <w:lang w:val="tr-TR" w:eastAsia="tr-TR"/>
        </w:rPr>
        <w:drawing>
          <wp:inline distT="0" distB="0" distL="0" distR="0" wp14:anchorId="15786EB6" wp14:editId="483BE8A0">
            <wp:extent cx="5175250" cy="2647950"/>
            <wp:effectExtent l="0" t="0" r="635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75250" cy="2647950"/>
                    </a:xfrm>
                    <a:prstGeom prst="rect">
                      <a:avLst/>
                    </a:prstGeom>
                    <a:noFill/>
                    <a:ln>
                      <a:noFill/>
                    </a:ln>
                  </pic:spPr>
                </pic:pic>
              </a:graphicData>
            </a:graphic>
          </wp:inline>
        </w:drawing>
      </w:r>
    </w:p>
    <w:p w:rsidR="00FE7FEB" w:rsidRPr="00947D59" w:rsidRDefault="00FE7FEB" w:rsidP="00FE7FEB">
      <w:pPr>
        <w:rPr>
          <w:rFonts w:cstheme="minorHAnsi"/>
        </w:rPr>
      </w:pPr>
      <w:r w:rsidRPr="00947D59">
        <w:rPr>
          <w:rFonts w:cstheme="minorHAnsi"/>
        </w:rPr>
        <w:t>84% of Complaint Notifications were made through CIMER(including BİMER). After CİMER, the highest notification was made via the web page (Form) of the Authority with 14%. EMRA web page is followed by MENR and EMRA General Documents channels respectively.</w:t>
      </w:r>
    </w:p>
    <w:p w:rsidR="00FE7FEB" w:rsidRPr="00947D59" w:rsidRDefault="00FE7FEB" w:rsidP="00FE7FEB">
      <w:pPr>
        <w:rPr>
          <w:rFonts w:cstheme="minorHAnsi"/>
        </w:rPr>
      </w:pPr>
      <w:r w:rsidRPr="00947D59">
        <w:rPr>
          <w:rFonts w:cstheme="minorHAnsi"/>
        </w:rPr>
        <w:t>Notifications are categorized as Legislation / Suggestion, Complaint, Other and Not in the Field of the Subject Institution according to the subject headings.</w:t>
      </w:r>
    </w:p>
    <w:p w:rsidR="00FE7FEB" w:rsidRPr="00691CB6" w:rsidRDefault="00FE7FEB" w:rsidP="00691CB6">
      <w:pPr>
        <w:pStyle w:val="Balk3"/>
      </w:pPr>
      <w:bookmarkStart w:id="336" w:name="_Toc440363416"/>
      <w:bookmarkStart w:id="337" w:name="_Toc440363443"/>
      <w:bookmarkStart w:id="338" w:name="_Toc440364104"/>
      <w:bookmarkStart w:id="339" w:name="_Toc447286887"/>
      <w:bookmarkStart w:id="340" w:name="_Toc514251700"/>
      <w:bookmarkStart w:id="341" w:name="_Toc12956375"/>
      <w:r w:rsidRPr="00691CB6">
        <w:t>9.2.2. Sectoral dispersion of the complaint notifications</w:t>
      </w:r>
      <w:bookmarkEnd w:id="336"/>
      <w:bookmarkEnd w:id="337"/>
      <w:bookmarkEnd w:id="338"/>
      <w:bookmarkEnd w:id="339"/>
      <w:bookmarkEnd w:id="340"/>
      <w:bookmarkEnd w:id="341"/>
    </w:p>
    <w:p w:rsidR="00FE7FEB" w:rsidRPr="00947D59" w:rsidRDefault="00FE7FEB" w:rsidP="00FE7FEB">
      <w:pPr>
        <w:spacing w:after="120" w:line="240" w:lineRule="auto"/>
        <w:jc w:val="both"/>
        <w:rPr>
          <w:rFonts w:cstheme="minorHAnsi"/>
        </w:rPr>
      </w:pPr>
      <w:r w:rsidRPr="00947D59">
        <w:rPr>
          <w:rFonts w:cstheme="minorHAnsi"/>
        </w:rPr>
        <w:t>The notifications communicated under the complaint category are separated into Natural Gas Market, Electricity Market, Liquefied Petroleum Gas Market (LPG) and Petroleum Market within the framework of protection of consumer rights and examination of consumer complaints. The percentage distribution of complaint notifications belonging to these sectors is given in the graphic below.</w:t>
      </w:r>
    </w:p>
    <w:p w:rsidR="00FE7FEB" w:rsidRPr="00216EDE" w:rsidRDefault="00FE7FEB" w:rsidP="00216EDE">
      <w:pPr>
        <w:pStyle w:val="Balk5"/>
      </w:pPr>
      <w:bookmarkStart w:id="342" w:name="_Toc12958534"/>
      <w:r w:rsidRPr="00216EDE">
        <w:t>Figure 9.3: Sectoral Breakdown of Complaints Received</w:t>
      </w:r>
      <w:bookmarkEnd w:id="342"/>
    </w:p>
    <w:p w:rsidR="00FE7FEB" w:rsidRPr="00947D59" w:rsidRDefault="00FE7FEB" w:rsidP="00691CB6">
      <w:pPr>
        <w:spacing w:after="120" w:line="240" w:lineRule="auto"/>
        <w:ind w:firstLine="708"/>
        <w:jc w:val="both"/>
        <w:rPr>
          <w:rFonts w:cstheme="minorHAnsi"/>
        </w:rPr>
      </w:pPr>
      <w:r w:rsidRPr="00947D59">
        <w:rPr>
          <w:rFonts w:cstheme="minorHAnsi"/>
          <w:lang w:val="tr-TR" w:eastAsia="tr-TR"/>
        </w:rPr>
        <w:drawing>
          <wp:inline distT="0" distB="0" distL="0" distR="0" wp14:anchorId="3D5817EB" wp14:editId="779A6B62">
            <wp:extent cx="5530850" cy="34163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30850" cy="3416300"/>
                    </a:xfrm>
                    <a:prstGeom prst="rect">
                      <a:avLst/>
                    </a:prstGeom>
                    <a:noFill/>
                    <a:ln>
                      <a:noFill/>
                    </a:ln>
                  </pic:spPr>
                </pic:pic>
              </a:graphicData>
            </a:graphic>
          </wp:inline>
        </w:drawing>
      </w:r>
    </w:p>
    <w:p w:rsidR="00FE7FEB" w:rsidRPr="00947D59" w:rsidRDefault="00FE7FEB" w:rsidP="00FE7FEB">
      <w:pPr>
        <w:spacing w:after="120" w:line="240" w:lineRule="auto"/>
        <w:jc w:val="both"/>
        <w:rPr>
          <w:rFonts w:cstheme="minorHAnsi"/>
        </w:rPr>
      </w:pPr>
      <w:r w:rsidRPr="00947D59">
        <w:rPr>
          <w:rFonts w:cstheme="minorHAnsi"/>
        </w:rPr>
        <w:t>Electricity sector has the biggest share with 55,223 (79%) in the sectoral distribution of complaints. Natural gas sector with 11.352 (16%), petroleum sector with 1,364 (2%), other with 1.203 (2%) and LPG sector with 524 (1%), followed by electricity sector. In particular, when these ratios of electricity and natural gas sectors are interpreted, it should be taken into consideration that there are more than 43 million consumers (free and non-free) in electricity sector in 2018 and more than 12 million in natural gas sector.</w:t>
      </w:r>
    </w:p>
    <w:p w:rsidR="00FE7FEB" w:rsidRPr="00947D59" w:rsidRDefault="00FE7FEB" w:rsidP="00FE7FEB">
      <w:pPr>
        <w:spacing w:after="120" w:line="240" w:lineRule="auto"/>
        <w:jc w:val="both"/>
        <w:rPr>
          <w:rFonts w:cstheme="minorHAnsi"/>
        </w:rPr>
      </w:pPr>
      <w:r w:rsidRPr="00947D59">
        <w:rPr>
          <w:rFonts w:cstheme="minorHAnsi"/>
        </w:rPr>
        <w:t>All notifications included in the institution correspondence system are not sent to the sector departments. Complaints that are not directly examined by our institution and that need to be answered and evaluated by the companies are sent to the related companies. The following graph shows the proportions of complaints that are included in the Institution's correspondence system and sent directly to the institution.</w:t>
      </w:r>
    </w:p>
    <w:p w:rsidR="00FE7FEB" w:rsidRPr="00947D59" w:rsidRDefault="00FE7FEB" w:rsidP="00216EDE">
      <w:pPr>
        <w:pStyle w:val="Balk5"/>
      </w:pPr>
      <w:bookmarkStart w:id="343" w:name="_Toc12958535"/>
      <w:r w:rsidRPr="00947D59">
        <w:t>Figure 9.4: Breakdown of Complainst Forwarded to Relevant Adresses</w:t>
      </w:r>
      <w:bookmarkEnd w:id="343"/>
    </w:p>
    <w:p w:rsidR="00FE7FEB" w:rsidRPr="00947D59" w:rsidRDefault="00FE7FEB" w:rsidP="00691CB6">
      <w:pPr>
        <w:spacing w:after="120" w:line="240" w:lineRule="auto"/>
        <w:ind w:left="720" w:firstLine="708"/>
        <w:jc w:val="both"/>
        <w:rPr>
          <w:rFonts w:cstheme="minorHAnsi"/>
        </w:rPr>
      </w:pPr>
      <w:r w:rsidRPr="00947D59">
        <w:rPr>
          <w:rFonts w:cstheme="minorHAnsi"/>
          <w:lang w:val="tr-TR" w:eastAsia="tr-TR"/>
        </w:rPr>
        <w:drawing>
          <wp:inline distT="0" distB="0" distL="0" distR="0" wp14:anchorId="7A1686B5" wp14:editId="4D3AD48D">
            <wp:extent cx="4121150" cy="3803650"/>
            <wp:effectExtent l="0" t="0" r="0" b="635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21150" cy="3803650"/>
                    </a:xfrm>
                    <a:prstGeom prst="rect">
                      <a:avLst/>
                    </a:prstGeom>
                    <a:noFill/>
                    <a:ln>
                      <a:noFill/>
                    </a:ln>
                  </pic:spPr>
                </pic:pic>
              </a:graphicData>
            </a:graphic>
          </wp:inline>
        </w:drawing>
      </w:r>
    </w:p>
    <w:p w:rsidR="00FE7FEB" w:rsidRPr="00947D59" w:rsidRDefault="00FE7FEB" w:rsidP="00FE7FEB">
      <w:pPr>
        <w:spacing w:after="120" w:line="240" w:lineRule="auto"/>
        <w:jc w:val="both"/>
        <w:rPr>
          <w:rFonts w:cstheme="minorHAnsi"/>
        </w:rPr>
      </w:pPr>
      <w:r w:rsidRPr="00947D59">
        <w:rPr>
          <w:rFonts w:cstheme="minorHAnsi"/>
        </w:rPr>
        <w:t>The biggest part of the complaints received into the institution’s correspondence system was forwarded to Electricity Distribution with 55%, electricity assigned supplier companies with 15%, natural gas distribution companies with 14% and the related sectoral departments of the authority with 16%.</w:t>
      </w:r>
    </w:p>
    <w:p w:rsidR="00FE7FEB" w:rsidRPr="00947D59" w:rsidRDefault="00FE7FEB" w:rsidP="00FE7FEB">
      <w:pPr>
        <w:spacing w:after="120" w:line="240" w:lineRule="auto"/>
        <w:jc w:val="both"/>
        <w:rPr>
          <w:rFonts w:cstheme="minorHAnsi"/>
        </w:rPr>
      </w:pPr>
    </w:p>
    <w:p w:rsidR="00FE7FEB" w:rsidRPr="00691CB6" w:rsidRDefault="00FE7FEB" w:rsidP="00691CB6">
      <w:pPr>
        <w:pStyle w:val="Balk3"/>
      </w:pPr>
      <w:bookmarkStart w:id="344" w:name="_Toc440363418"/>
      <w:bookmarkStart w:id="345" w:name="_Toc440363445"/>
      <w:bookmarkStart w:id="346" w:name="_Toc440364106"/>
      <w:bookmarkStart w:id="347" w:name="_Toc447286889"/>
      <w:bookmarkStart w:id="348" w:name="_Toc514251702"/>
      <w:bookmarkStart w:id="349" w:name="_Toc12956376"/>
      <w:r w:rsidRPr="00691CB6">
        <w:t>9.2.2. Classification of complaints and realizations in the Electricity Sector</w:t>
      </w:r>
      <w:bookmarkEnd w:id="344"/>
      <w:bookmarkEnd w:id="345"/>
      <w:bookmarkEnd w:id="346"/>
      <w:bookmarkEnd w:id="347"/>
      <w:bookmarkEnd w:id="348"/>
      <w:bookmarkEnd w:id="349"/>
    </w:p>
    <w:p w:rsidR="00FE7FEB" w:rsidRPr="00947D59" w:rsidRDefault="00FE7FEB" w:rsidP="00FE7FEB">
      <w:pPr>
        <w:rPr>
          <w:rFonts w:cstheme="minorHAnsi"/>
        </w:rPr>
      </w:pPr>
      <w:r w:rsidRPr="00947D59">
        <w:rPr>
          <w:rFonts w:cstheme="minorHAnsi"/>
        </w:rPr>
        <w:t>Within the framework of consumer rights and protection of consumers, sub-classifications specific to the Electricity sector have been made under the complaint category. Subcategories such as Subscription, Link-Network, Counter, Quality, Customer Service, Billing and Price-Tariff have been made under the main categories of complaints about Electricity sector. 55.223 notifications subject to the complaint category for this period have been processed and the distribution of 10 complaint categories on the basis of sub-classifications is given below.</w:t>
      </w:r>
    </w:p>
    <w:p w:rsidR="00FE7FEB" w:rsidRPr="00947D59" w:rsidRDefault="00FE7FEB" w:rsidP="00216EDE">
      <w:pPr>
        <w:pStyle w:val="Balk5"/>
      </w:pPr>
      <w:bookmarkStart w:id="350" w:name="_Toc12958536"/>
      <w:r w:rsidRPr="00947D59">
        <w:t>Figure 9.5: Percentage Distribution of Breakdown of Electricity Complaints</w:t>
      </w:r>
      <w:bookmarkEnd w:id="350"/>
    </w:p>
    <w:p w:rsidR="00FE7FEB" w:rsidRPr="00947D59" w:rsidRDefault="00FE7FEB" w:rsidP="00691CB6">
      <w:pPr>
        <w:ind w:firstLine="708"/>
        <w:rPr>
          <w:rFonts w:cstheme="minorHAnsi"/>
        </w:rPr>
      </w:pPr>
      <w:r w:rsidRPr="00947D59">
        <w:rPr>
          <w:rFonts w:cstheme="minorHAnsi"/>
          <w:lang w:val="tr-TR" w:eastAsia="tr-TR"/>
        </w:rPr>
        <w:drawing>
          <wp:inline distT="0" distB="0" distL="0" distR="0" wp14:anchorId="64F8F65E" wp14:editId="3E10697D">
            <wp:extent cx="5784850" cy="2901950"/>
            <wp:effectExtent l="0" t="0" r="635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4850" cy="2901950"/>
                    </a:xfrm>
                    <a:prstGeom prst="rect">
                      <a:avLst/>
                    </a:prstGeom>
                    <a:noFill/>
                    <a:ln>
                      <a:noFill/>
                    </a:ln>
                  </pic:spPr>
                </pic:pic>
              </a:graphicData>
            </a:graphic>
          </wp:inline>
        </w:drawing>
      </w:r>
    </w:p>
    <w:p w:rsidR="00FE7FEB" w:rsidRPr="00947D59" w:rsidRDefault="00FE7FEB" w:rsidP="00FE7FEB">
      <w:pPr>
        <w:spacing w:after="120" w:line="240" w:lineRule="auto"/>
        <w:ind w:left="1416"/>
        <w:rPr>
          <w:rFonts w:cstheme="minorHAnsi"/>
        </w:rPr>
      </w:pPr>
      <w:r w:rsidRPr="00947D59">
        <w:rPr>
          <w:rFonts w:cstheme="minorHAnsi"/>
        </w:rPr>
        <w:t>* In the category “Others”, there are various complaints related to more than one subject and the sum of the complaints with a very low  percentage.</w:t>
      </w:r>
    </w:p>
    <w:p w:rsidR="00FE7FEB" w:rsidRPr="00947D59" w:rsidRDefault="00FE7FEB" w:rsidP="00FE7FEB">
      <w:pPr>
        <w:rPr>
          <w:rFonts w:cstheme="minorHAnsi"/>
        </w:rPr>
      </w:pPr>
      <w:r w:rsidRPr="00947D59">
        <w:rPr>
          <w:rFonts w:cstheme="minorHAnsi"/>
        </w:rPr>
        <w:t>The highest concentration of complaints in the electricity market is the Energy Conservation with 25%, Objection to Errors in Invoices and Billing Elements with 12%, Complaints about Company and Customer Services with 12%, Investment / Initial Connection (Physical Connection to Network) with 11% and Facility (Line, Transformer, Mast) Location Change / Abolition, Meter Change and Meter Reading area with 10%.</w:t>
      </w:r>
    </w:p>
    <w:p w:rsidR="00FE7FEB" w:rsidRPr="00947D59" w:rsidRDefault="00FE7FEB" w:rsidP="00FE7FEB">
      <w:pPr>
        <w:rPr>
          <w:rFonts w:cstheme="minorHAnsi"/>
        </w:rPr>
      </w:pPr>
      <w:r w:rsidRPr="00947D59">
        <w:rPr>
          <w:rFonts w:cstheme="minorHAnsi"/>
        </w:rPr>
        <w:t>Percentage distribution of the notifications that are processed in the Electricity sector and are reported on a monthly basis are given below.</w:t>
      </w:r>
    </w:p>
    <w:p w:rsidR="00FE7FEB" w:rsidRPr="00947D59" w:rsidRDefault="00FE7FEB" w:rsidP="00216EDE">
      <w:pPr>
        <w:pStyle w:val="Balk5"/>
      </w:pPr>
      <w:bookmarkStart w:id="351" w:name="_Toc12958537"/>
      <w:r w:rsidRPr="00947D59">
        <w:t>Figure 9.6: Monthly Breakdown of Electricity Complaints</w:t>
      </w:r>
      <w:bookmarkEnd w:id="351"/>
    </w:p>
    <w:p w:rsidR="00FE7FEB" w:rsidRPr="00947D59" w:rsidRDefault="00FE7FEB" w:rsidP="00691CB6">
      <w:pPr>
        <w:ind w:firstLine="708"/>
        <w:rPr>
          <w:rFonts w:cstheme="minorHAnsi"/>
        </w:rPr>
      </w:pPr>
      <w:r w:rsidRPr="00947D59">
        <w:rPr>
          <w:rFonts w:cstheme="minorHAnsi"/>
          <w:lang w:val="tr-TR" w:eastAsia="tr-TR"/>
        </w:rPr>
        <w:drawing>
          <wp:inline distT="0" distB="0" distL="0" distR="0" wp14:anchorId="16ABA51F" wp14:editId="51EA5F64">
            <wp:extent cx="5185703" cy="2196131"/>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90315" cy="2198084"/>
                    </a:xfrm>
                    <a:prstGeom prst="rect">
                      <a:avLst/>
                    </a:prstGeom>
                    <a:noFill/>
                    <a:ln>
                      <a:noFill/>
                    </a:ln>
                  </pic:spPr>
                </pic:pic>
              </a:graphicData>
            </a:graphic>
          </wp:inline>
        </w:drawing>
      </w:r>
    </w:p>
    <w:p w:rsidR="00FE7FEB" w:rsidRPr="00947D59" w:rsidRDefault="00FE7FEB" w:rsidP="00FE7FEB">
      <w:pPr>
        <w:rPr>
          <w:rFonts w:cstheme="minorHAnsi"/>
        </w:rPr>
      </w:pPr>
      <w:r w:rsidRPr="00947D59">
        <w:rPr>
          <w:rFonts w:cstheme="minorHAnsi"/>
        </w:rPr>
        <w:t>Looking at the monthly realizations of the notifications, it is seen that the biggest share is 12% with December, followed by November and March respectively.</w:t>
      </w:r>
    </w:p>
    <w:p w:rsidR="00FE7FEB" w:rsidRPr="00691CB6" w:rsidRDefault="00FE7FEB" w:rsidP="00691CB6">
      <w:pPr>
        <w:pStyle w:val="Balk3"/>
      </w:pPr>
      <w:bookmarkStart w:id="352" w:name="_Toc440363417"/>
      <w:bookmarkStart w:id="353" w:name="_Toc440363444"/>
      <w:bookmarkStart w:id="354" w:name="_Toc440364105"/>
      <w:bookmarkStart w:id="355" w:name="_Toc447286888"/>
      <w:bookmarkStart w:id="356" w:name="_Toc514251701"/>
      <w:bookmarkStart w:id="357" w:name="_Toc12956377"/>
      <w:r w:rsidRPr="00691CB6">
        <w:t>9.2.3. Classification of Complaints and Realizations in Natural Gas Sector</w:t>
      </w:r>
      <w:bookmarkEnd w:id="352"/>
      <w:bookmarkEnd w:id="353"/>
      <w:bookmarkEnd w:id="354"/>
      <w:bookmarkEnd w:id="355"/>
      <w:bookmarkEnd w:id="356"/>
      <w:bookmarkEnd w:id="357"/>
    </w:p>
    <w:p w:rsidR="00FE7FEB" w:rsidRPr="00947D59" w:rsidRDefault="00FE7FEB" w:rsidP="00FE7FEB">
      <w:pPr>
        <w:spacing w:after="120" w:line="240" w:lineRule="auto"/>
        <w:jc w:val="both"/>
        <w:rPr>
          <w:rFonts w:cstheme="minorHAnsi"/>
        </w:rPr>
      </w:pPr>
      <w:r w:rsidRPr="00947D59">
        <w:rPr>
          <w:rFonts w:cstheme="minorHAnsi"/>
        </w:rPr>
        <w:t>In order to establish the necessary procedures for the protection of consumer rights and consumers, sector specific classifications have been made under the complaint category, taking into consideration the relevant legislation. In natural gas sector, Subscription, Connection-Network, Meter, Quality, Customer Service, Billing, Price-Tariff, Category Not Selected and Complaint Document. Percentage distribution of notifications subject to the complaint category for this period, based on subclassifications, is given below.</w:t>
      </w:r>
    </w:p>
    <w:p w:rsidR="00FE7FEB" w:rsidRPr="00947D59" w:rsidRDefault="00FE7FEB" w:rsidP="00216EDE">
      <w:pPr>
        <w:pStyle w:val="Balk5"/>
      </w:pPr>
      <w:r w:rsidRPr="00947D59">
        <w:t xml:space="preserve">                                    </w:t>
      </w:r>
      <w:bookmarkStart w:id="358" w:name="_Toc12958538"/>
      <w:r w:rsidRPr="00947D59">
        <w:t>Figure 9.7: Percentage Distribution of Sub-classification of Complaints and Realizations in Natural Gas Sector</w:t>
      </w:r>
      <w:bookmarkEnd w:id="358"/>
    </w:p>
    <w:p w:rsidR="00FE7FEB" w:rsidRPr="00947D59" w:rsidRDefault="00FE7FEB" w:rsidP="00691CB6">
      <w:pPr>
        <w:spacing w:after="120" w:line="240" w:lineRule="auto"/>
        <w:ind w:firstLine="708"/>
        <w:jc w:val="both"/>
        <w:rPr>
          <w:rFonts w:cstheme="minorHAnsi"/>
        </w:rPr>
      </w:pPr>
      <w:r w:rsidRPr="00947D59">
        <w:rPr>
          <w:rFonts w:cstheme="minorHAnsi"/>
        </w:rPr>
        <w:t xml:space="preserve"> </w:t>
      </w:r>
      <w:r w:rsidRPr="00947D59">
        <w:rPr>
          <w:rFonts w:cstheme="minorHAnsi"/>
          <w:lang w:val="tr-TR" w:eastAsia="tr-TR"/>
        </w:rPr>
        <w:drawing>
          <wp:inline distT="0" distB="0" distL="0" distR="0" wp14:anchorId="275A63F5" wp14:editId="51B985AB">
            <wp:extent cx="5747385" cy="3069590"/>
            <wp:effectExtent l="0" t="0" r="571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7385" cy="3069590"/>
                    </a:xfrm>
                    <a:prstGeom prst="rect">
                      <a:avLst/>
                    </a:prstGeom>
                    <a:noFill/>
                    <a:ln>
                      <a:noFill/>
                    </a:ln>
                  </pic:spPr>
                </pic:pic>
              </a:graphicData>
            </a:graphic>
          </wp:inline>
        </w:drawing>
      </w:r>
    </w:p>
    <w:p w:rsidR="00FE7FEB" w:rsidRPr="00947D59" w:rsidRDefault="00FE7FEB" w:rsidP="00FE7FEB">
      <w:pPr>
        <w:spacing w:after="120" w:line="240" w:lineRule="auto"/>
        <w:ind w:left="2124"/>
        <w:rPr>
          <w:rFonts w:cstheme="minorHAnsi"/>
        </w:rPr>
      </w:pPr>
      <w:r w:rsidRPr="00947D59">
        <w:rPr>
          <w:rFonts w:cstheme="minorHAnsi"/>
        </w:rPr>
        <w:t>* In the category “Others”, there are various complaints related to more than one subject and the sum of the complaints with a very low percentage.</w:t>
      </w:r>
    </w:p>
    <w:p w:rsidR="00FE7FEB" w:rsidRPr="00947D59" w:rsidRDefault="00FE7FEB" w:rsidP="00FE7FEB">
      <w:pPr>
        <w:spacing w:after="120" w:line="240" w:lineRule="auto"/>
        <w:jc w:val="both"/>
        <w:rPr>
          <w:rFonts w:cstheme="minorHAnsi"/>
        </w:rPr>
      </w:pPr>
      <w:r w:rsidRPr="00947D59">
        <w:rPr>
          <w:rFonts w:cstheme="minorHAnsi"/>
        </w:rPr>
        <w:t>In natural gas sector most complaints with 60% are about the connection / service line. This is followed by metering instrument related costs. Percentage breakdown of reported notifications of natural gas sector by months are given below.</w:t>
      </w:r>
    </w:p>
    <w:p w:rsidR="00FE7FEB" w:rsidRPr="00947D59" w:rsidRDefault="00FE7FEB" w:rsidP="00FE7FEB">
      <w:pPr>
        <w:spacing w:after="120" w:line="240" w:lineRule="auto"/>
        <w:ind w:left="708" w:firstLine="708"/>
        <w:jc w:val="both"/>
        <w:rPr>
          <w:rFonts w:cstheme="minorHAnsi"/>
        </w:rPr>
      </w:pPr>
    </w:p>
    <w:p w:rsidR="00FE7FEB" w:rsidRPr="00947D59" w:rsidRDefault="00FE7FEB" w:rsidP="00216EDE">
      <w:pPr>
        <w:pStyle w:val="Balk5"/>
      </w:pPr>
      <w:r w:rsidRPr="00947D59">
        <w:t xml:space="preserve">      </w:t>
      </w:r>
      <w:bookmarkStart w:id="359" w:name="_Toc12958539"/>
      <w:r w:rsidRPr="00947D59">
        <w:t>Figure 9.8: Percentage Distribution of Noticifications in the Natural Gas Sector by Months(%)</w:t>
      </w:r>
      <w:bookmarkEnd w:id="359"/>
    </w:p>
    <w:p w:rsidR="00FE7FEB" w:rsidRPr="00947D59" w:rsidRDefault="00FE7FEB" w:rsidP="00216EDE">
      <w:pPr>
        <w:spacing w:after="120" w:line="240" w:lineRule="auto"/>
        <w:ind w:firstLine="708"/>
        <w:jc w:val="both"/>
        <w:rPr>
          <w:rFonts w:cstheme="minorHAnsi"/>
        </w:rPr>
      </w:pPr>
      <w:r w:rsidRPr="00947D59">
        <w:rPr>
          <w:rFonts w:cstheme="minorHAnsi"/>
          <w:lang w:val="tr-TR" w:eastAsia="tr-TR"/>
        </w:rPr>
        <w:drawing>
          <wp:inline distT="0" distB="0" distL="0" distR="0" wp14:anchorId="5549DEE4" wp14:editId="0DF8AEA4">
            <wp:extent cx="5260064" cy="2225412"/>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81085" cy="2234305"/>
                    </a:xfrm>
                    <a:prstGeom prst="rect">
                      <a:avLst/>
                    </a:prstGeom>
                    <a:noFill/>
                    <a:ln>
                      <a:noFill/>
                    </a:ln>
                  </pic:spPr>
                </pic:pic>
              </a:graphicData>
            </a:graphic>
          </wp:inline>
        </w:drawing>
      </w:r>
    </w:p>
    <w:p w:rsidR="00FE7FEB" w:rsidRPr="00947D59" w:rsidRDefault="00FE7FEB" w:rsidP="00216EDE">
      <w:pPr>
        <w:ind w:left="708"/>
      </w:pPr>
      <w:r w:rsidRPr="00947D59">
        <w:t>Looking at the monthly realizations of the notifications, it is seen that the biggest share is 16% with November, followed by December and March.</w:t>
      </w:r>
    </w:p>
    <w:p w:rsidR="00FE7FEB" w:rsidRPr="00947D59" w:rsidRDefault="00FE7FEB" w:rsidP="00FE7FEB">
      <w:pPr>
        <w:spacing w:after="120" w:line="240" w:lineRule="auto"/>
        <w:ind w:left="1416" w:firstLine="708"/>
        <w:jc w:val="both"/>
        <w:rPr>
          <w:rFonts w:cstheme="minorHAnsi"/>
        </w:rPr>
      </w:pPr>
    </w:p>
    <w:p w:rsidR="00FE7FEB" w:rsidRPr="00947D59" w:rsidRDefault="00FE7FEB" w:rsidP="00FE7FEB">
      <w:pPr>
        <w:spacing w:after="120" w:line="240" w:lineRule="auto"/>
        <w:ind w:left="1416" w:firstLine="708"/>
        <w:jc w:val="both"/>
        <w:rPr>
          <w:rFonts w:cstheme="minorHAnsi"/>
        </w:rPr>
      </w:pPr>
    </w:p>
    <w:p w:rsidR="00FE7FEB" w:rsidRPr="00691CB6" w:rsidRDefault="00FE7FEB" w:rsidP="00691CB6">
      <w:pPr>
        <w:pStyle w:val="Balk3"/>
      </w:pPr>
      <w:bookmarkStart w:id="360" w:name="_Toc12956378"/>
      <w:r w:rsidRPr="00691CB6">
        <w:t>9.2.4. Classification of Complaints and realizations in the Petroleum Sector</w:t>
      </w:r>
      <w:bookmarkEnd w:id="360"/>
    </w:p>
    <w:p w:rsidR="00FE7FEB" w:rsidRPr="00947D59" w:rsidRDefault="00FE7FEB" w:rsidP="00FE7FEB">
      <w:pPr>
        <w:rPr>
          <w:rFonts w:cstheme="minorHAnsi"/>
        </w:rPr>
      </w:pPr>
      <w:r w:rsidRPr="00947D59">
        <w:rPr>
          <w:rFonts w:cstheme="minorHAnsi"/>
        </w:rPr>
        <w:t>Under the complaint category, sub-categories such as Fuel Price and Price Increases, Fuel contrary to Technical Regulations, Legislation / Recommendation, Customer Service and Quality, Differences in Prices in Pumps and Signs, Facility Security (establishment license, license basis documents, distance limit etc.) and Not Implementing Price Increase and Decrease in Time were determined. During this period, 1,364 complaints were processed. The petroleum sector has a 2% share in the notifications received by the Institution.</w:t>
      </w:r>
    </w:p>
    <w:p w:rsidR="00FE7FEB" w:rsidRPr="00947D59" w:rsidRDefault="00FE7FEB" w:rsidP="00691CB6">
      <w:pPr>
        <w:pStyle w:val="Balk3"/>
      </w:pPr>
      <w:bookmarkStart w:id="361" w:name="_Toc12956379"/>
      <w:r w:rsidRPr="00947D59">
        <w:t>9.2.5. Classification and Realizations of Liquefied Petroleum Gases (LPG) Complaints</w:t>
      </w:r>
      <w:bookmarkEnd w:id="361"/>
    </w:p>
    <w:p w:rsidR="00FE7FEB" w:rsidRPr="00947D59" w:rsidRDefault="00FE7FEB" w:rsidP="00FE7FEB">
      <w:pPr>
        <w:spacing w:line="240" w:lineRule="auto"/>
        <w:rPr>
          <w:rFonts w:cstheme="minorHAnsi"/>
          <w:b/>
          <w:bCs/>
        </w:rPr>
      </w:pPr>
      <w:r w:rsidRPr="00947D59">
        <w:rPr>
          <w:rFonts w:eastAsia="Times New Roman" w:cstheme="minorHAnsi"/>
          <w:color w:val="000000"/>
        </w:rPr>
        <w:t>Within the scope of consumer rights and protection of consumers based on the relevant legislation, LPG Price and Price Increases under the Complaint category, LPG in contradiction to Technical Regulations, Legislation / Recommendation (license to open a business, license based on license, distance limit etc.), Customer Service and Quality, Pump and Sign Sub-categories such as Price Differences, Facility Security, and Timely Implementation of Price Increases and Declines were identified.</w:t>
      </w:r>
    </w:p>
    <w:p w:rsidR="00FE7FEB" w:rsidRPr="00947D59" w:rsidRDefault="00FE7FEB" w:rsidP="00FE7FEB">
      <w:pPr>
        <w:rPr>
          <w:rFonts w:cstheme="minorHAnsi"/>
        </w:rPr>
      </w:pPr>
    </w:p>
    <w:p w:rsidR="00FE7FEB" w:rsidRPr="00947D59" w:rsidRDefault="00FE7FEB" w:rsidP="00691CB6">
      <w:pPr>
        <w:pStyle w:val="Balk1"/>
      </w:pPr>
      <w:bookmarkStart w:id="362" w:name="_Toc12956380"/>
      <w:r w:rsidRPr="00947D59">
        <w:t>10. PRESS AND PUBLIC RELATIONS</w:t>
      </w:r>
      <w:bookmarkEnd w:id="362"/>
    </w:p>
    <w:p w:rsidR="00FE7FEB" w:rsidRPr="00947D59" w:rsidRDefault="00FE7FEB" w:rsidP="00FE7FEB">
      <w:pPr>
        <w:rPr>
          <w:rFonts w:cstheme="minorHAnsi"/>
          <w:lang w:eastAsia="tr-TR"/>
        </w:rPr>
      </w:pPr>
      <w:r w:rsidRPr="00947D59">
        <w:rPr>
          <w:rFonts w:cstheme="minorHAnsi"/>
          <w:lang w:eastAsia="tr-TR"/>
        </w:rPr>
        <w:t>In the year of 2018, besides the follow-up and evaluation of the publications related to the energy sector and the activities of EMRA and answering the written and oral questions directed to the Authority by press members, public information activities were carried out about Electricity, Natural Gas, Petroleu and LPG sectors and other organization duties assigned by the President were fulfilled.</w:t>
      </w:r>
    </w:p>
    <w:p w:rsidR="00FE7FEB" w:rsidRPr="00947D59" w:rsidRDefault="00FE7FEB" w:rsidP="00FE7FEB">
      <w:pPr>
        <w:spacing w:after="120" w:line="240" w:lineRule="auto"/>
        <w:jc w:val="both"/>
        <w:rPr>
          <w:rFonts w:cstheme="minorHAnsi"/>
          <w:lang w:eastAsia="tr-TR"/>
        </w:rPr>
      </w:pPr>
      <w:r w:rsidRPr="00947D59">
        <w:rPr>
          <w:rFonts w:cstheme="minorHAnsi"/>
          <w:lang w:eastAsia="tr-TR"/>
        </w:rPr>
        <w:t xml:space="preserve">Members of the press have been brought together with the President of the Authority  according to the intensity of the agenda. </w:t>
      </w:r>
    </w:p>
    <w:p w:rsidR="00FE7FEB" w:rsidRPr="00947D59" w:rsidRDefault="00FE7FEB" w:rsidP="00FE7FEB">
      <w:pPr>
        <w:spacing w:after="120" w:line="240" w:lineRule="auto"/>
        <w:jc w:val="both"/>
        <w:rPr>
          <w:rFonts w:cstheme="minorHAnsi"/>
          <w:lang w:eastAsia="tr-TR"/>
        </w:rPr>
      </w:pPr>
      <w:r w:rsidRPr="00947D59">
        <w:rPr>
          <w:rFonts w:cstheme="minorHAnsi"/>
          <w:lang w:eastAsia="tr-TR"/>
        </w:rPr>
        <w:t>News texts about the activities of the Authority were created and the public was informed through media organizations and press statements were made when necessary. Board Decisions about the consumer rights and which need to be informed to the public, have been turned into news and public information has been publicized through the media channels.</w:t>
      </w:r>
    </w:p>
    <w:p w:rsidR="00FE7FEB" w:rsidRPr="00947D59" w:rsidRDefault="00FE7FEB" w:rsidP="00FE7FEB">
      <w:pPr>
        <w:spacing w:after="120" w:line="240" w:lineRule="auto"/>
        <w:jc w:val="both"/>
        <w:rPr>
          <w:rFonts w:cstheme="minorHAnsi"/>
          <w:lang w:eastAsia="tr-TR"/>
        </w:rPr>
      </w:pPr>
      <w:r w:rsidRPr="00947D59">
        <w:rPr>
          <w:rFonts w:cstheme="minorHAnsi"/>
          <w:lang w:eastAsia="tr-TR"/>
        </w:rPr>
        <w:t xml:space="preserve">Organizations were made for meetings in which the associations active in the enrgy sector, President of EMRA, Board Members and staff of the related service units participated. </w:t>
      </w:r>
    </w:p>
    <w:p w:rsidR="00FE7FEB" w:rsidRPr="00947D59" w:rsidRDefault="00FE7FEB" w:rsidP="00FE7FEB">
      <w:pPr>
        <w:spacing w:after="120" w:line="240" w:lineRule="auto"/>
        <w:jc w:val="both"/>
        <w:rPr>
          <w:rFonts w:cstheme="minorHAnsi"/>
          <w:lang w:eastAsia="tr-TR"/>
        </w:rPr>
      </w:pPr>
      <w:r w:rsidRPr="00947D59">
        <w:rPr>
          <w:rFonts w:cstheme="minorHAnsi"/>
          <w:lang w:eastAsia="tr-TR"/>
        </w:rPr>
        <w:t xml:space="preserve">In the beginning of 2018, approximately </w:t>
      </w:r>
      <w:r w:rsidRPr="00947D59">
        <w:rPr>
          <w:rFonts w:cstheme="minorHAnsi"/>
          <w:b/>
          <w:bCs/>
          <w:lang w:eastAsia="tr-TR"/>
        </w:rPr>
        <w:t>7.689</w:t>
      </w:r>
      <w:r w:rsidRPr="00947D59">
        <w:rPr>
          <w:rFonts w:cstheme="minorHAnsi"/>
          <w:lang w:eastAsia="tr-TR"/>
        </w:rPr>
        <w:t xml:space="preserve"> written press reports and </w:t>
      </w:r>
      <w:r w:rsidRPr="00947D59">
        <w:rPr>
          <w:rFonts w:cstheme="minorHAnsi"/>
          <w:b/>
          <w:bCs/>
          <w:lang w:eastAsia="tr-TR"/>
        </w:rPr>
        <w:t>1.806</w:t>
      </w:r>
      <w:r w:rsidRPr="00947D59">
        <w:rPr>
          <w:rFonts w:cstheme="minorHAnsi"/>
          <w:lang w:eastAsia="tr-TR"/>
        </w:rPr>
        <w:t xml:space="preserve"> TV reports were published for EPDK. Three press releases have been published on behalf of the institution. President of EMRA participated in </w:t>
      </w:r>
      <w:r w:rsidRPr="00947D59">
        <w:rPr>
          <w:rFonts w:cstheme="minorHAnsi"/>
          <w:b/>
          <w:bCs/>
          <w:lang w:eastAsia="tr-TR"/>
        </w:rPr>
        <w:t>21</w:t>
      </w:r>
      <w:r w:rsidRPr="00947D59">
        <w:rPr>
          <w:rFonts w:cstheme="minorHAnsi"/>
          <w:lang w:eastAsia="tr-TR"/>
        </w:rPr>
        <w:t xml:space="preserve"> programs accesible to press (conferences, meetings, live TV broadcasts) as speaker.</w:t>
      </w:r>
    </w:p>
    <w:p w:rsidR="00FE7FEB" w:rsidRPr="00947D59" w:rsidRDefault="00FE7FEB" w:rsidP="00FE7FEB">
      <w:pPr>
        <w:spacing w:after="120" w:line="240" w:lineRule="auto"/>
        <w:jc w:val="both"/>
        <w:rPr>
          <w:rFonts w:cstheme="minorHAnsi"/>
          <w:lang w:eastAsia="tr-TR"/>
        </w:rPr>
      </w:pPr>
      <w:r w:rsidRPr="00947D59">
        <w:rPr>
          <w:rFonts w:cstheme="minorHAnsi"/>
          <w:lang w:eastAsia="tr-TR"/>
        </w:rPr>
        <w:t>Providing a cooperation platform for all corporate communicators working in the energy sector in order to provide the fastest, accurate and effective information to the public in the energy sector, to implement social responsibility projects that will increase the prestige of the sector and to develop communication methods that will increase consumer satisfaction to better levels; The efforts to establish the Energy Communication Group have started with the support of the Ministry of Energy and Natural Resources.</w:t>
      </w:r>
    </w:p>
    <w:p w:rsidR="00FE7FEB" w:rsidRPr="00947D59" w:rsidRDefault="00FE7FEB" w:rsidP="00FE7FEB">
      <w:pPr>
        <w:rPr>
          <w:rFonts w:cstheme="minorHAnsi"/>
        </w:rPr>
      </w:pPr>
    </w:p>
    <w:p w:rsidR="00FE7FEB" w:rsidRPr="00947D59" w:rsidRDefault="00FE7FEB" w:rsidP="00691CB6">
      <w:pPr>
        <w:pStyle w:val="Balk1"/>
      </w:pPr>
      <w:bookmarkStart w:id="363" w:name="_Toc12956381"/>
      <w:bookmarkStart w:id="364" w:name="_Toc514251710"/>
      <w:r w:rsidRPr="00947D59">
        <w:t>11. RELATIONS WITH OTHER INSTITUTIONS</w:t>
      </w:r>
      <w:bookmarkEnd w:id="363"/>
    </w:p>
    <w:p w:rsidR="00FE7FEB" w:rsidRPr="00947D59" w:rsidRDefault="00FE7FEB" w:rsidP="001D239F">
      <w:r w:rsidRPr="00947D59">
        <w:t>Parliamentary Question Received via the Ministry</w:t>
      </w:r>
      <w:bookmarkEnd w:id="364"/>
    </w:p>
    <w:p w:rsidR="00FE7FEB" w:rsidRPr="00947D59" w:rsidRDefault="00FE7FEB" w:rsidP="00FE7FEB">
      <w:pPr>
        <w:spacing w:after="120" w:line="240" w:lineRule="auto"/>
        <w:jc w:val="both"/>
        <w:rPr>
          <w:rFonts w:cstheme="minorHAnsi"/>
        </w:rPr>
      </w:pPr>
      <w:r w:rsidRPr="00947D59">
        <w:rPr>
          <w:rFonts w:cstheme="minorHAnsi"/>
        </w:rPr>
        <w:t xml:space="preserve">Answers to the request of 130 Parliamentary Questions from the Grand National Assembly of Turkey was created in 2017. The distribution of such questions is shown in Table 11.1 </w:t>
      </w:r>
    </w:p>
    <w:p w:rsidR="00FE7FEB" w:rsidRPr="00947D59" w:rsidRDefault="00FE7FEB" w:rsidP="00FE7FEB">
      <w:pPr>
        <w:rPr>
          <w:rFonts w:cstheme="minorHAnsi"/>
        </w:rPr>
      </w:pPr>
    </w:p>
    <w:p w:rsidR="00FE7FEB" w:rsidRPr="00216EDE" w:rsidRDefault="00FE7FEB" w:rsidP="00216EDE">
      <w:pPr>
        <w:pStyle w:val="Balk5"/>
      </w:pPr>
      <w:bookmarkStart w:id="365" w:name="_Toc512874185"/>
      <w:bookmarkStart w:id="366" w:name="_Toc12958540"/>
      <w:r w:rsidRPr="00216EDE">
        <w:rPr>
          <w:rStyle w:val="Gl"/>
          <w:b/>
          <w:bCs w:val="0"/>
        </w:rPr>
        <w:t>Table 11.1: Parliamentary Questions Received in 2018 by s</w:t>
      </w:r>
      <w:bookmarkEnd w:id="365"/>
      <w:r w:rsidRPr="00216EDE">
        <w:rPr>
          <w:rStyle w:val="Gl"/>
          <w:b/>
          <w:bCs w:val="0"/>
        </w:rPr>
        <w:t>ubject</w:t>
      </w:r>
      <w:bookmarkEnd w:id="366"/>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6472"/>
        <w:gridCol w:w="1537"/>
        <w:gridCol w:w="1537"/>
      </w:tblGrid>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color w:val="FFFFFF" w:themeColor="background1"/>
                <w:lang w:eastAsia="tr-TR"/>
              </w:rPr>
              <w:t>Content of the Parliamentary Question</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Number</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947D59" w:rsidRDefault="00FE7FEB" w:rsidP="00D816E6">
            <w:pPr>
              <w:spacing w:after="0" w:line="240" w:lineRule="auto"/>
              <w:jc w:val="center"/>
              <w:rPr>
                <w:rFonts w:eastAsia="Times New Roman" w:cstheme="minorHAnsi"/>
                <w:b/>
                <w:bCs/>
                <w:color w:val="FFFFFF"/>
                <w:lang w:eastAsia="tr-TR"/>
              </w:rPr>
            </w:pPr>
            <w:r w:rsidRPr="00947D59">
              <w:rPr>
                <w:rFonts w:eastAsia="Times New Roman" w:cstheme="minorHAnsi"/>
                <w:b/>
                <w:bCs/>
                <w:color w:val="FFFFFF"/>
                <w:lang w:eastAsia="tr-TR"/>
              </w:rPr>
              <w:t>Percentage</w:t>
            </w:r>
          </w:p>
        </w:tc>
      </w:tr>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both"/>
              <w:rPr>
                <w:rFonts w:eastAsia="Times New Roman" w:cstheme="minorHAnsi"/>
                <w:color w:val="000000"/>
                <w:lang w:eastAsia="tr-TR"/>
              </w:rPr>
            </w:pPr>
            <w:r w:rsidRPr="00947D59">
              <w:rPr>
                <w:rFonts w:eastAsia="Times New Roman" w:cstheme="minorHAnsi"/>
                <w:color w:val="000000"/>
                <w:lang w:eastAsia="tr-TR"/>
              </w:rPr>
              <w:t>Tariff Regulations</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42</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center"/>
              <w:rPr>
                <w:rFonts w:eastAsia="Times New Roman" w:cstheme="minorHAnsi"/>
                <w:lang w:eastAsia="tr-TR"/>
              </w:rPr>
            </w:pPr>
            <w:r w:rsidRPr="00947D59">
              <w:rPr>
                <w:rFonts w:eastAsia="Times New Roman" w:cstheme="minorHAnsi"/>
                <w:lang w:eastAsia="tr-TR"/>
              </w:rPr>
              <w:t>53,16</w:t>
            </w:r>
          </w:p>
        </w:tc>
      </w:tr>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both"/>
              <w:rPr>
                <w:rFonts w:eastAsia="Times New Roman" w:cstheme="minorHAnsi"/>
                <w:color w:val="000000"/>
                <w:lang w:eastAsia="tr-TR"/>
              </w:rPr>
            </w:pPr>
            <w:r w:rsidRPr="00947D59">
              <w:rPr>
                <w:rFonts w:eastAsia="Times New Roman" w:cstheme="minorHAnsi"/>
                <w:color w:val="000000"/>
                <w:lang w:eastAsia="tr-TR"/>
              </w:rPr>
              <w:t>Loss-Leakage and its effect on electricity tariff</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11</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center"/>
              <w:rPr>
                <w:rFonts w:eastAsia="Times New Roman" w:cstheme="minorHAnsi"/>
                <w:lang w:eastAsia="tr-TR"/>
              </w:rPr>
            </w:pPr>
            <w:r w:rsidRPr="00947D59">
              <w:rPr>
                <w:rFonts w:eastAsia="Times New Roman" w:cstheme="minorHAnsi"/>
                <w:lang w:eastAsia="tr-TR"/>
              </w:rPr>
              <w:t>13,92</w:t>
            </w:r>
          </w:p>
        </w:tc>
      </w:tr>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both"/>
              <w:rPr>
                <w:rFonts w:eastAsia="Times New Roman" w:cstheme="minorHAnsi"/>
                <w:color w:val="000000"/>
                <w:lang w:eastAsia="tr-TR"/>
              </w:rPr>
            </w:pPr>
            <w:r w:rsidRPr="00947D59">
              <w:rPr>
                <w:rFonts w:eastAsia="Times New Roman" w:cstheme="minorHAnsi"/>
                <w:color w:val="000000"/>
                <w:lang w:eastAsia="tr-TR"/>
              </w:rPr>
              <w:t>Licensing and license informations</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8</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center"/>
              <w:rPr>
                <w:rFonts w:eastAsia="Times New Roman" w:cstheme="minorHAnsi"/>
                <w:lang w:eastAsia="tr-TR"/>
              </w:rPr>
            </w:pPr>
            <w:r w:rsidRPr="00947D59">
              <w:rPr>
                <w:rFonts w:eastAsia="Times New Roman" w:cstheme="minorHAnsi"/>
                <w:lang w:eastAsia="tr-TR"/>
              </w:rPr>
              <w:t>10,13</w:t>
            </w:r>
          </w:p>
        </w:tc>
      </w:tr>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both"/>
              <w:rPr>
                <w:rFonts w:eastAsia="Times New Roman" w:cstheme="minorHAnsi"/>
                <w:color w:val="000000"/>
                <w:lang w:eastAsia="tr-TR"/>
              </w:rPr>
            </w:pPr>
            <w:r w:rsidRPr="00947D59">
              <w:rPr>
                <w:rFonts w:eastAsia="Times New Roman" w:cstheme="minorHAnsi"/>
                <w:color w:val="000000"/>
                <w:lang w:eastAsia="tr-TR"/>
              </w:rPr>
              <w:t>Renewable Energy</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6</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center"/>
              <w:rPr>
                <w:rFonts w:eastAsia="Times New Roman" w:cstheme="minorHAnsi"/>
                <w:lang w:eastAsia="tr-TR"/>
              </w:rPr>
            </w:pPr>
            <w:r w:rsidRPr="00947D59">
              <w:rPr>
                <w:rFonts w:eastAsia="Times New Roman" w:cstheme="minorHAnsi"/>
                <w:lang w:eastAsia="tr-TR"/>
              </w:rPr>
              <w:t>7,59</w:t>
            </w:r>
          </w:p>
        </w:tc>
      </w:tr>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both"/>
              <w:rPr>
                <w:rFonts w:eastAsia="Times New Roman" w:cstheme="minorHAnsi"/>
                <w:color w:val="000000"/>
                <w:lang w:eastAsia="tr-TR"/>
              </w:rPr>
            </w:pPr>
            <w:r w:rsidRPr="00947D59">
              <w:rPr>
                <w:rFonts w:eastAsia="Times New Roman" w:cstheme="minorHAnsi"/>
                <w:color w:val="000000"/>
                <w:lang w:eastAsia="tr-TR"/>
              </w:rPr>
              <w:t>EPDK Work and Operations</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5</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center"/>
              <w:rPr>
                <w:rFonts w:eastAsia="Times New Roman" w:cstheme="minorHAnsi"/>
                <w:lang w:eastAsia="tr-TR"/>
              </w:rPr>
            </w:pPr>
            <w:r w:rsidRPr="00947D59">
              <w:rPr>
                <w:rFonts w:eastAsia="Times New Roman" w:cstheme="minorHAnsi"/>
                <w:lang w:eastAsia="tr-TR"/>
              </w:rPr>
              <w:t>6,33</w:t>
            </w:r>
          </w:p>
        </w:tc>
      </w:tr>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both"/>
              <w:rPr>
                <w:rFonts w:eastAsia="Times New Roman" w:cstheme="minorHAnsi"/>
                <w:color w:val="000000"/>
                <w:lang w:eastAsia="tr-TR"/>
              </w:rPr>
            </w:pPr>
            <w:r w:rsidRPr="00947D59">
              <w:rPr>
                <w:rFonts w:eastAsia="Times New Roman" w:cstheme="minorHAnsi"/>
                <w:color w:val="000000"/>
                <w:lang w:eastAsia="tr-TR"/>
              </w:rPr>
              <w:t>Electricity Disconnections</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4</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center"/>
              <w:rPr>
                <w:rFonts w:eastAsia="Times New Roman" w:cstheme="minorHAnsi"/>
                <w:lang w:eastAsia="tr-TR"/>
              </w:rPr>
            </w:pPr>
            <w:r w:rsidRPr="00947D59">
              <w:rPr>
                <w:rFonts w:eastAsia="Times New Roman" w:cstheme="minorHAnsi"/>
                <w:lang w:eastAsia="tr-TR"/>
              </w:rPr>
              <w:t>5,06</w:t>
            </w:r>
          </w:p>
        </w:tc>
      </w:tr>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both"/>
              <w:rPr>
                <w:rFonts w:eastAsia="Times New Roman" w:cstheme="minorHAnsi"/>
                <w:color w:val="000000"/>
                <w:lang w:eastAsia="tr-TR"/>
              </w:rPr>
            </w:pPr>
            <w:r w:rsidRPr="00947D59">
              <w:rPr>
                <w:rFonts w:eastAsia="Times New Roman" w:cstheme="minorHAnsi"/>
                <w:color w:val="000000"/>
                <w:lang w:eastAsia="tr-TR"/>
              </w:rPr>
              <w:t>Others</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right"/>
              <w:rPr>
                <w:rFonts w:eastAsia="Times New Roman" w:cstheme="minorHAnsi"/>
                <w:color w:val="000000"/>
                <w:lang w:eastAsia="tr-TR"/>
              </w:rPr>
            </w:pPr>
            <w:r w:rsidRPr="00947D59">
              <w:rPr>
                <w:rFonts w:eastAsia="Times New Roman" w:cstheme="minorHAnsi"/>
                <w:color w:val="000000"/>
                <w:lang w:eastAsia="tr-TR"/>
              </w:rPr>
              <w:t>3</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center"/>
              <w:rPr>
                <w:rFonts w:eastAsia="Times New Roman" w:cstheme="minorHAnsi"/>
                <w:lang w:eastAsia="tr-TR"/>
              </w:rPr>
            </w:pPr>
            <w:r w:rsidRPr="00947D59">
              <w:rPr>
                <w:rFonts w:eastAsia="Times New Roman" w:cstheme="minorHAnsi"/>
                <w:lang w:eastAsia="tr-TR"/>
              </w:rPr>
              <w:t>3,81</w:t>
            </w:r>
          </w:p>
        </w:tc>
      </w:tr>
      <w:tr w:rsidR="00FE7FEB" w:rsidRPr="00947D59" w:rsidTr="00D816E6">
        <w:trPr>
          <w:trHeight w:val="315"/>
        </w:trPr>
        <w:tc>
          <w:tcPr>
            <w:tcW w:w="3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947D59" w:rsidRDefault="00FE7FEB" w:rsidP="00D816E6">
            <w:pPr>
              <w:spacing w:after="0" w:line="240" w:lineRule="auto"/>
              <w:jc w:val="both"/>
              <w:rPr>
                <w:rFonts w:eastAsia="Times New Roman" w:cstheme="minorHAnsi"/>
                <w:color w:val="000000"/>
                <w:lang w:eastAsia="tr-TR"/>
              </w:rPr>
            </w:pPr>
            <w:r w:rsidRPr="00947D59">
              <w:rPr>
                <w:rFonts w:eastAsia="Times New Roman" w:cstheme="minorHAnsi"/>
                <w:color w:val="000000"/>
                <w:lang w:eastAsia="tr-TR"/>
              </w:rPr>
              <w:t>Total</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lang w:eastAsia="tr-TR"/>
              </w:rPr>
              <w:t>79</w:t>
            </w:r>
          </w:p>
        </w:tc>
        <w:tc>
          <w:tcPr>
            <w:tcW w:w="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E7FEB" w:rsidRPr="00947D59" w:rsidRDefault="00FE7FEB" w:rsidP="00D816E6">
            <w:pPr>
              <w:spacing w:after="0" w:line="240" w:lineRule="auto"/>
              <w:jc w:val="center"/>
              <w:rPr>
                <w:rFonts w:eastAsia="Times New Roman" w:cstheme="minorHAnsi"/>
                <w:lang w:eastAsia="tr-TR"/>
              </w:rPr>
            </w:pPr>
            <w:r w:rsidRPr="00947D59">
              <w:rPr>
                <w:rFonts w:eastAsia="Times New Roman" w:cstheme="minorHAnsi"/>
                <w:lang w:eastAsia="tr-TR"/>
              </w:rPr>
              <w:t>100</w:t>
            </w:r>
          </w:p>
        </w:tc>
      </w:tr>
    </w:tbl>
    <w:p w:rsidR="00FE7FEB" w:rsidRPr="00947D59" w:rsidRDefault="00FE7FEB" w:rsidP="00FE7FEB">
      <w:pPr>
        <w:pStyle w:val="Balk2"/>
        <w:spacing w:before="0" w:after="120" w:line="240" w:lineRule="auto"/>
        <w:jc w:val="both"/>
        <w:rPr>
          <w:rFonts w:cstheme="minorHAnsi"/>
          <w:b w:val="0"/>
          <w:bCs/>
          <w:color w:val="000000" w:themeColor="text1"/>
          <w:sz w:val="22"/>
          <w:szCs w:val="22"/>
        </w:rPr>
      </w:pPr>
    </w:p>
    <w:p w:rsidR="00FE7FEB" w:rsidRDefault="00FE7FEB" w:rsidP="00216EDE">
      <w:pPr>
        <w:pStyle w:val="Balk5"/>
      </w:pPr>
      <w:bookmarkStart w:id="367" w:name="_Toc12958541"/>
      <w:r w:rsidRPr="00A72361">
        <w:t>Figure 11.1: Percentage Distribution of Question Proposals in 2018 by Subject</w:t>
      </w:r>
      <w:bookmarkEnd w:id="367"/>
    </w:p>
    <w:p w:rsidR="00FE7FEB" w:rsidRPr="00947D59" w:rsidRDefault="00FE7FEB" w:rsidP="00691CB6">
      <w:pPr>
        <w:ind w:firstLine="708"/>
        <w:rPr>
          <w:rFonts w:cstheme="minorHAnsi"/>
          <w:b/>
          <w:bCs/>
        </w:rPr>
      </w:pPr>
      <w:r>
        <w:rPr>
          <w:rFonts w:cstheme="minorHAnsi"/>
          <w:b/>
          <w:bCs/>
          <w:lang w:val="tr-TR" w:eastAsia="tr-TR"/>
        </w:rPr>
        <w:drawing>
          <wp:inline distT="0" distB="0" distL="0" distR="0" wp14:anchorId="18508CF1" wp14:editId="653BB857">
            <wp:extent cx="5772150" cy="297180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72150" cy="2971800"/>
                    </a:xfrm>
                    <a:prstGeom prst="rect">
                      <a:avLst/>
                    </a:prstGeom>
                    <a:noFill/>
                    <a:ln>
                      <a:noFill/>
                    </a:ln>
                  </pic:spPr>
                </pic:pic>
              </a:graphicData>
            </a:graphic>
          </wp:inline>
        </w:drawing>
      </w:r>
    </w:p>
    <w:p w:rsidR="00FE7FEB" w:rsidRPr="00947D59" w:rsidRDefault="00FE7FEB" w:rsidP="00FE7FEB">
      <w:pPr>
        <w:rPr>
          <w:rFonts w:cstheme="minorHAnsi"/>
          <w:b/>
          <w:bCs/>
        </w:rPr>
      </w:pPr>
    </w:p>
    <w:p w:rsidR="00FE7FEB" w:rsidRPr="00947D59" w:rsidRDefault="00FE7FEB" w:rsidP="00691CB6">
      <w:pPr>
        <w:pStyle w:val="Balk1"/>
      </w:pPr>
      <w:bookmarkStart w:id="368" w:name="_Toc12956382"/>
      <w:r w:rsidRPr="00947D59">
        <w:t>12.  EXTERNAL RELATIONS</w:t>
      </w:r>
      <w:bookmarkEnd w:id="368"/>
    </w:p>
    <w:p w:rsidR="00FE7FEB" w:rsidRPr="00947D59" w:rsidRDefault="00FE7FEB" w:rsidP="00FE7FEB">
      <w:pPr>
        <w:spacing w:after="120" w:line="240" w:lineRule="auto"/>
        <w:rPr>
          <w:rFonts w:cstheme="minorHAnsi"/>
        </w:rPr>
      </w:pPr>
      <w:r w:rsidRPr="00947D59">
        <w:rPr>
          <w:rFonts w:cstheme="minorHAnsi"/>
        </w:rPr>
        <w:t>The Authority conducts its external relations activities in five main axis:</w:t>
      </w:r>
    </w:p>
    <w:p w:rsidR="00FE7FEB" w:rsidRPr="00947D59" w:rsidRDefault="00FE7FEB" w:rsidP="00FE7FEB">
      <w:pPr>
        <w:spacing w:after="120" w:line="240" w:lineRule="auto"/>
        <w:rPr>
          <w:rFonts w:cstheme="minorHAnsi"/>
        </w:rPr>
      </w:pPr>
      <w:r w:rsidRPr="00947D59">
        <w:rPr>
          <w:rFonts w:cstheme="minorHAnsi"/>
        </w:rPr>
        <w:t>1.</w:t>
      </w:r>
      <w:r w:rsidRPr="00947D59">
        <w:rPr>
          <w:rFonts w:cstheme="minorHAnsi"/>
        </w:rPr>
        <w:tab/>
        <w:t>Relations with the regional associations to which EMRA is a member.</w:t>
      </w:r>
    </w:p>
    <w:p w:rsidR="00FE7FEB" w:rsidRPr="00947D59" w:rsidRDefault="00FE7FEB" w:rsidP="00FE7FEB">
      <w:pPr>
        <w:spacing w:after="120" w:line="240" w:lineRule="auto"/>
        <w:rPr>
          <w:rFonts w:cstheme="minorHAnsi"/>
        </w:rPr>
      </w:pPr>
      <w:r w:rsidRPr="00947D59">
        <w:rPr>
          <w:rFonts w:cstheme="minorHAnsi"/>
        </w:rPr>
        <w:t>2.</w:t>
      </w:r>
      <w:r w:rsidRPr="00947D59">
        <w:rPr>
          <w:rFonts w:cstheme="minorHAnsi"/>
        </w:rPr>
        <w:tab/>
        <w:t>Bilateral relations</w:t>
      </w:r>
    </w:p>
    <w:p w:rsidR="00FE7FEB" w:rsidRPr="00947D59" w:rsidRDefault="00FE7FEB" w:rsidP="00FE7FEB">
      <w:pPr>
        <w:spacing w:after="120" w:line="240" w:lineRule="auto"/>
        <w:rPr>
          <w:rFonts w:cstheme="minorHAnsi"/>
        </w:rPr>
      </w:pPr>
      <w:r w:rsidRPr="00947D59">
        <w:rPr>
          <w:rFonts w:cstheme="minorHAnsi"/>
        </w:rPr>
        <w:t>3.</w:t>
      </w:r>
      <w:r w:rsidRPr="00947D59">
        <w:rPr>
          <w:rFonts w:cstheme="minorHAnsi"/>
        </w:rPr>
        <w:tab/>
        <w:t>The activities under the European Union harmonization process</w:t>
      </w:r>
    </w:p>
    <w:p w:rsidR="00FE7FEB" w:rsidRPr="00947D59" w:rsidRDefault="00FE7FEB" w:rsidP="00FE7FEB">
      <w:pPr>
        <w:spacing w:after="120" w:line="240" w:lineRule="auto"/>
        <w:rPr>
          <w:rFonts w:cstheme="minorHAnsi"/>
        </w:rPr>
      </w:pPr>
      <w:r w:rsidRPr="00947D59">
        <w:rPr>
          <w:rFonts w:cstheme="minorHAnsi"/>
        </w:rPr>
        <w:t>4.</w:t>
      </w:r>
      <w:r w:rsidRPr="00947D59">
        <w:rPr>
          <w:rFonts w:cstheme="minorHAnsi"/>
        </w:rPr>
        <w:tab/>
        <w:t xml:space="preserve">Studies which are conducted in the areas of responsibility of EMRA within the processes where our country is a part of or in relation with. </w:t>
      </w:r>
    </w:p>
    <w:p w:rsidR="00FE7FEB" w:rsidRPr="00947D59" w:rsidRDefault="00FE7FEB" w:rsidP="00FE7FEB">
      <w:pPr>
        <w:spacing w:after="120" w:line="240" w:lineRule="auto"/>
        <w:rPr>
          <w:rFonts w:cstheme="minorHAnsi"/>
        </w:rPr>
      </w:pPr>
      <w:r w:rsidRPr="00947D59">
        <w:rPr>
          <w:rFonts w:cstheme="minorHAnsi"/>
        </w:rPr>
        <w:t>5.</w:t>
      </w:r>
      <w:r w:rsidRPr="00947D59">
        <w:rPr>
          <w:rFonts w:cstheme="minorHAnsi"/>
        </w:rPr>
        <w:tab/>
        <w:t xml:space="preserve">Monitoring and reporting of the development sin the international energy markets. </w:t>
      </w:r>
    </w:p>
    <w:p w:rsidR="00FE7FEB" w:rsidRPr="00947D59" w:rsidRDefault="00FE7FEB" w:rsidP="00FE7FEB">
      <w:pPr>
        <w:spacing w:after="120" w:line="240" w:lineRule="auto"/>
        <w:jc w:val="both"/>
        <w:rPr>
          <w:rFonts w:cstheme="minorHAnsi"/>
        </w:rPr>
      </w:pPr>
      <w:r w:rsidRPr="00947D59">
        <w:rPr>
          <w:rFonts w:cstheme="minorHAnsi"/>
        </w:rPr>
        <w:t>The activities carried out in the context of external relations have been continued on the basis of a "working and developing energy market and reliable regulation". In this context, in the oversees events we participated emphasize was given to the introduction of our energy market as well as to the demonstration of our knowledge, expertise and experiences in energy and energy regulation.</w:t>
      </w:r>
    </w:p>
    <w:p w:rsidR="00FE7FEB" w:rsidRPr="00947D59" w:rsidRDefault="00FE7FEB" w:rsidP="00FE7FEB">
      <w:pPr>
        <w:spacing w:after="120" w:line="240" w:lineRule="auto"/>
        <w:jc w:val="both"/>
        <w:rPr>
          <w:rFonts w:cstheme="minorHAnsi"/>
        </w:rPr>
      </w:pPr>
      <w:r w:rsidRPr="00947D59">
        <w:rPr>
          <w:rFonts w:cstheme="minorHAnsi"/>
        </w:rPr>
        <w:t>“EMRA External Relations Strategy” document, which is based on the vision of becoming a value creating institution with its expertise in regional and international energy markets, and determining the strategic objectives and strategies that can be implemented within the scope of this vision has been approved by the Board with the decision number 7934 dated 28/06/2018.</w:t>
      </w:r>
    </w:p>
    <w:p w:rsidR="00FE7FEB" w:rsidRPr="00947D59" w:rsidRDefault="00FE7FEB" w:rsidP="00FE7FEB">
      <w:pPr>
        <w:spacing w:after="120" w:line="240" w:lineRule="auto"/>
        <w:jc w:val="both"/>
        <w:rPr>
          <w:rFonts w:cstheme="minorHAnsi"/>
        </w:rPr>
      </w:pPr>
    </w:p>
    <w:p w:rsidR="00FE7FEB" w:rsidRPr="00947D59" w:rsidRDefault="00FE7FEB" w:rsidP="00691CB6">
      <w:pPr>
        <w:pStyle w:val="Balk2"/>
      </w:pPr>
      <w:bookmarkStart w:id="369" w:name="_Toc12956383"/>
      <w:r w:rsidRPr="00947D59">
        <w:t>12.1. Relations with the Regional Associations of which EMRA is a Member</w:t>
      </w:r>
      <w:bookmarkEnd w:id="369"/>
      <w:r w:rsidRPr="00947D59">
        <w:t xml:space="preserve"> </w:t>
      </w:r>
    </w:p>
    <w:p w:rsidR="00FE7FEB" w:rsidRPr="00947D59" w:rsidRDefault="00FE7FEB" w:rsidP="00FE7FEB">
      <w:pPr>
        <w:rPr>
          <w:rFonts w:cstheme="minorHAnsi"/>
        </w:rPr>
      </w:pPr>
      <w:r w:rsidRPr="00947D59">
        <w:rPr>
          <w:rFonts w:cstheme="minorHAnsi"/>
        </w:rPr>
        <w:t>The Authority is a member of the Energy Regulators Regional Association (ERRA) and the Association of Mediterranean Regulators for Electricity and Gas (MEDREG) and observer to the Energy Comunity Regulatory Board (ECRB). At the same time, EMRA is represented in the Steering Committee of ICER as the Chair of Gas and Other Fuels Working Group.</w:t>
      </w:r>
    </w:p>
    <w:p w:rsidR="00FE7FEB" w:rsidRPr="00947D59" w:rsidRDefault="00FE7FEB" w:rsidP="00FE7FEB">
      <w:pPr>
        <w:rPr>
          <w:rFonts w:cstheme="minorHAnsi"/>
        </w:rPr>
      </w:pPr>
      <w:r w:rsidRPr="00947D59">
        <w:rPr>
          <w:rFonts w:cstheme="minorHAnsi"/>
        </w:rPr>
        <w:t>In ERRA, where our Chairman serves as a Board Member, our Agency representatives actively participate in ERRA's activities and have a directing effect.</w:t>
      </w:r>
    </w:p>
    <w:p w:rsidR="00FE7FEB" w:rsidRPr="00947D59" w:rsidRDefault="00FE7FEB" w:rsidP="00FE7FEB">
      <w:pPr>
        <w:rPr>
          <w:rFonts w:cstheme="minorHAnsi"/>
        </w:rPr>
      </w:pPr>
      <w:r w:rsidRPr="00947D59">
        <w:rPr>
          <w:rFonts w:cstheme="minorHAnsi"/>
        </w:rPr>
        <w:t>ERRA’s activities have been followed and directed as much as possible by the staff members of the Presidents’ Committee, the License / Competition Committee, the Tariff / Pricing Committee, the Customer and Retail Market Working Group. In 2018, ERRA Vice President of the License and Competition Committee was successfully maintained by the staff of EMRA assigned.</w:t>
      </w:r>
    </w:p>
    <w:p w:rsidR="00FE7FEB" w:rsidRPr="00947D59" w:rsidRDefault="00FE7FEB" w:rsidP="00FE7FEB">
      <w:pPr>
        <w:rPr>
          <w:rFonts w:cstheme="minorHAnsi"/>
        </w:rPr>
      </w:pPr>
      <w:r w:rsidRPr="00947D59">
        <w:rPr>
          <w:rFonts w:cstheme="minorHAnsi"/>
        </w:rPr>
        <w:t>The staff of EMRA attended the trainings organized by ERRA both as trainees and trainers. It has been seen that the staff of EMRA has shown a great success in the examinations held after the trainings. This year one of these trainings (Electricity Market Monitoring Tools) was held in Istanbul on December 3-5, 2018 in collaboration with MEDREG.</w:t>
      </w:r>
    </w:p>
    <w:p w:rsidR="00FE7FEB" w:rsidRPr="00947D59" w:rsidRDefault="00FE7FEB" w:rsidP="00FE7FEB">
      <w:pPr>
        <w:rPr>
          <w:rFonts w:cstheme="minorHAnsi"/>
        </w:rPr>
      </w:pPr>
      <w:r w:rsidRPr="00947D59">
        <w:rPr>
          <w:rFonts w:cstheme="minorHAnsi"/>
        </w:rPr>
        <w:t>The 17th of the Energy Investment and Regulatory Conference, the most important event of ERRA, was held in Antalya on October 9-10, 2018 with the hosting of EMRA. EMRA was represented both as a panelist and as a participant in the conference where there were approximately 200 participants from 40 countries.</w:t>
      </w:r>
    </w:p>
    <w:p w:rsidR="00FE7FEB" w:rsidRPr="00947D59" w:rsidRDefault="00FE7FEB" w:rsidP="00FE7FEB">
      <w:pPr>
        <w:rPr>
          <w:rFonts w:cstheme="minorHAnsi"/>
        </w:rPr>
      </w:pPr>
      <w:r w:rsidRPr="00947D59">
        <w:rPr>
          <w:rFonts w:cstheme="minorHAnsi"/>
        </w:rPr>
        <w:t xml:space="preserve">Since its establishment, our company has been active in its activities and organs and has made significant contributions in 2018 within the scope of its relations with MEDREG. At the 26th General Assembly of MEDREG held in Istanbul on 29 November 2018, the Head of Strategy Development Department Gülefşan Demirbaş was elected as the President of MEDREG by agreement. At the 26th General Assembly, it was decided that the Vice President of Natural Gas Working Group will be carried out by the staff of EMRA. </w:t>
      </w:r>
    </w:p>
    <w:p w:rsidR="00FE7FEB" w:rsidRPr="00947D59" w:rsidRDefault="00FE7FEB" w:rsidP="00FE7FEB">
      <w:pPr>
        <w:rPr>
          <w:rFonts w:cstheme="minorHAnsi"/>
        </w:rPr>
      </w:pPr>
      <w:r w:rsidRPr="00947D59">
        <w:rPr>
          <w:rFonts w:cstheme="minorHAnsi"/>
        </w:rPr>
        <w:t>The works of MEDREG has been followed and directed as much as possible by the staff of EMRA assigned for the working groups. In this context, the Natural Gas Working Group, chaired by the staff of EMRA from 2017-2018, completed and published the Mediterranean Region Natural Gas Infrastructure Map in 2018, examining the Good Practice Guide for Transparency in Natural Gas, the Good Practice Guide for Capacity Allocation, and the Natural Gas Infrastructures. In addition, Peer review of the licensing processes in the electricity market of Jordan's Energy and Mineral Regulatory Commission (EMRC), contributed by the institution's staff, was completed and published.</w:t>
      </w:r>
    </w:p>
    <w:p w:rsidR="00FE7FEB" w:rsidRPr="00947D59" w:rsidRDefault="00FE7FEB" w:rsidP="00FE7FEB">
      <w:pPr>
        <w:rPr>
          <w:rFonts w:cstheme="minorHAnsi"/>
        </w:rPr>
      </w:pPr>
      <w:r w:rsidRPr="00947D59">
        <w:rPr>
          <w:rFonts w:cstheme="minorHAnsi"/>
        </w:rPr>
        <w:t>Improving MEDREG’s regulatory infrastructure in countries located on the southern and eastern coasts of the Mediterranean distribution of consumers, Regulatory Authority, and natural gas supply to households consumers under the scope of the initiative to benefit from the practices and experiences of our country in subjects such as the role of System Operator and tariff system for the purpose of the Natural Gas Authority (NGA) of Israel authorities to your institution on May 10-11,2018 a sudy visit has been made.</w:t>
      </w:r>
    </w:p>
    <w:p w:rsidR="00FE7FEB" w:rsidRPr="00947D59" w:rsidRDefault="00FE7FEB" w:rsidP="00FE7FEB">
      <w:pPr>
        <w:rPr>
          <w:rFonts w:cstheme="minorHAnsi"/>
        </w:rPr>
      </w:pPr>
      <w:r w:rsidRPr="00947D59">
        <w:rPr>
          <w:rFonts w:cstheme="minorHAnsi"/>
        </w:rPr>
        <w:t>The Mediterranean Energy Regulatory Outlook Report, which was prepared by MEDREG Institutional Working Group and whose regulatory capacities of the member countries were examined, was approved and published by MEDREG General Assembly. Studies and activities within the scope of Union Energy Platforms for the Mediterranean were followed in coordination with the Ministry of Energy and Natural Resources. In this context, the contribution of LNG in the supply-demand balance and security of supply in the Euro-Mediterranean basin was contributed to the preparation of the reports.</w:t>
      </w:r>
    </w:p>
    <w:p w:rsidR="00FE7FEB" w:rsidRPr="00947D59" w:rsidRDefault="00FE7FEB" w:rsidP="00FE7FEB">
      <w:pPr>
        <w:rPr>
          <w:rFonts w:cstheme="minorHAnsi"/>
        </w:rPr>
      </w:pPr>
      <w:r w:rsidRPr="00947D59">
        <w:rPr>
          <w:rFonts w:cstheme="minorHAnsi"/>
        </w:rPr>
        <w:t>ICER Gas and Other Fuels Virtual Working Group Presidency of ICER and International Gas Association (IGU) jointly carried out by the personnel of the Institution in the capacity of LNG Import Facilities to determine the Good Safety Regulations and Practices on Investment Security has been completed and it was shared with the public at the 7th World Energy Regulatory Forum margin on 20-23 March 2018 in Cancun / Mexico. A case study on behalf of the Institution contributed to the study.</w:t>
      </w:r>
    </w:p>
    <w:p w:rsidR="00FE7FEB" w:rsidRPr="00947D59" w:rsidRDefault="00FE7FEB" w:rsidP="00FE7FEB">
      <w:pPr>
        <w:rPr>
          <w:rFonts w:cstheme="minorHAnsi"/>
        </w:rPr>
      </w:pPr>
      <w:r w:rsidRPr="00947D59">
        <w:rPr>
          <w:rFonts w:cstheme="minorHAnsi"/>
        </w:rPr>
        <w:t>The activities of the ECRB, to which the Institution is the observer, were followed up by the staff of the Institution in ECRB working groups.</w:t>
      </w:r>
    </w:p>
    <w:p w:rsidR="00FE7FEB" w:rsidRPr="00947D59" w:rsidRDefault="00FE7FEB" w:rsidP="00FE7FEB">
      <w:pPr>
        <w:rPr>
          <w:rFonts w:cstheme="minorHAnsi"/>
        </w:rPr>
      </w:pPr>
      <w:r w:rsidRPr="00947D59">
        <w:rPr>
          <w:rFonts w:cstheme="minorHAnsi"/>
        </w:rPr>
        <w:t>7 th World Energy Regulatory Forum which was held in Cancun, Mexico on 20-23 March 2018 was attended by the officials of our Institution. The next Forum will be held in Lima, Peru, in 2021.</w:t>
      </w:r>
    </w:p>
    <w:p w:rsidR="00691CB6" w:rsidRPr="00691CB6" w:rsidRDefault="00691CB6" w:rsidP="00691CB6">
      <w:pPr>
        <w:pStyle w:val="Balk2"/>
      </w:pPr>
      <w:bookmarkStart w:id="370" w:name="_Toc514251713"/>
      <w:bookmarkStart w:id="371" w:name="_Toc12956384"/>
      <w:r w:rsidRPr="00691CB6">
        <w:t>12.2 Bilateral Relations</w:t>
      </w:r>
      <w:bookmarkEnd w:id="370"/>
      <w:bookmarkEnd w:id="371"/>
    </w:p>
    <w:p w:rsidR="00FE7FEB" w:rsidRPr="00947D59" w:rsidRDefault="00FE7FEB" w:rsidP="00FE7FEB">
      <w:pPr>
        <w:rPr>
          <w:rFonts w:cstheme="minorHAnsi"/>
        </w:rPr>
      </w:pPr>
      <w:r w:rsidRPr="00947D59">
        <w:rPr>
          <w:rFonts w:cstheme="minorHAnsi"/>
        </w:rPr>
        <w:t>The Protocol on Cooperation, which was agreed upon by previous contacts with the Bulgarian Energy and Water Regulatory Commission (EWRC), was signed on 18 June 2018 in Sofia. Subsequently, our suggestions regarding the activities that could be realized within the scope of the Cooperation Protocol were transmitted to EWRC authorities. In 2019, it is aimed to carry out studies on cooperation issues to be determined with EWRC.</w:t>
      </w:r>
    </w:p>
    <w:p w:rsidR="00FE7FEB" w:rsidRPr="00947D59" w:rsidRDefault="00FE7FEB" w:rsidP="00FE7FEB">
      <w:pPr>
        <w:rPr>
          <w:rFonts w:cstheme="minorHAnsi"/>
        </w:rPr>
      </w:pPr>
      <w:r w:rsidRPr="00947D59">
        <w:rPr>
          <w:rFonts w:cstheme="minorHAnsi"/>
        </w:rPr>
        <w:t xml:space="preserve">Again within the scope of our close cooperation with Bulgaria, the participation of the "Round Table Discussion on Energy Security and Regional Cooperation" organized by the Embassy of Bulgaria in Ankara on 24 April 2018, as the EU president, was organized and information about the virtual operations of the organized wholesale gas market launched this year and the developments in the Turkey gas market have been made. </w:t>
      </w:r>
    </w:p>
    <w:p w:rsidR="00FE7FEB" w:rsidRPr="00947D59" w:rsidRDefault="00FE7FEB" w:rsidP="00FE7FEB">
      <w:pPr>
        <w:rPr>
          <w:rFonts w:cstheme="minorHAnsi"/>
        </w:rPr>
      </w:pPr>
      <w:r w:rsidRPr="00947D59">
        <w:rPr>
          <w:rFonts w:cstheme="minorHAnsi"/>
        </w:rPr>
        <w:t>A study visit was made to the Authority on 6 December 2018 by the authorities of Authority Electricity Regulatory Oman (AER Oman). In line with the request of the delegation, information on the institutional structure, operation, interests and fields of duty of EMRA was conveyed, the electricity market structure of our country was mentioned and market actors were introduced and the operation of the system in our country to monitor the market was explained.</w:t>
      </w:r>
    </w:p>
    <w:p w:rsidR="00FE7FEB" w:rsidRPr="00947D59" w:rsidRDefault="00FE7FEB" w:rsidP="00FE7FEB">
      <w:pPr>
        <w:pStyle w:val="Balk2"/>
        <w:spacing w:before="0" w:after="120" w:line="240" w:lineRule="auto"/>
        <w:jc w:val="both"/>
        <w:rPr>
          <w:rFonts w:cstheme="minorHAnsi"/>
          <w:b w:val="0"/>
          <w:bCs/>
          <w:color w:val="000000" w:themeColor="text1"/>
          <w:sz w:val="22"/>
          <w:szCs w:val="22"/>
        </w:rPr>
      </w:pPr>
    </w:p>
    <w:p w:rsidR="00FE7FEB" w:rsidRPr="00691CB6" w:rsidRDefault="00FE7FEB" w:rsidP="00691CB6">
      <w:pPr>
        <w:pStyle w:val="Balk2"/>
      </w:pPr>
      <w:bookmarkStart w:id="372" w:name="_Toc12956385"/>
      <w:r w:rsidRPr="00691CB6">
        <w:t>12.3.     Activities within the scope of alignment with the EU acquis</w:t>
      </w:r>
      <w:bookmarkEnd w:id="372"/>
    </w:p>
    <w:p w:rsidR="00FE7FEB" w:rsidRPr="00947D59" w:rsidRDefault="00FE7FEB" w:rsidP="00FE7FEB">
      <w:pPr>
        <w:spacing w:after="120" w:line="240" w:lineRule="auto"/>
        <w:jc w:val="both"/>
        <w:rPr>
          <w:rFonts w:cstheme="minorHAnsi"/>
        </w:rPr>
      </w:pPr>
      <w:r w:rsidRPr="00947D59">
        <w:rPr>
          <w:rFonts w:cstheme="minorHAnsi"/>
        </w:rPr>
        <w:t>"Turkey Energy Sector Phase-2 Project" within the scope of IPA 2013 programming, of which Energy and Natural Resources is the main beneficiary was followed and contributed in by taking part in the Steering Committee.  The opening meeting of the project was held on September 18, 2018. Our country's accession to the EU prepared by the European Commission assessed the progress recorded by Turkey 2019 Progress Report of the institutions involved has contributed to the portions related.</w:t>
      </w:r>
    </w:p>
    <w:p w:rsidR="00FE7FEB" w:rsidRPr="00947D59" w:rsidRDefault="00FE7FEB" w:rsidP="00FE7FEB">
      <w:pPr>
        <w:spacing w:after="120" w:line="240" w:lineRule="auto"/>
        <w:jc w:val="both"/>
        <w:rPr>
          <w:rFonts w:cstheme="minorHAnsi"/>
        </w:rPr>
      </w:pPr>
      <w:r w:rsidRPr="00947D59">
        <w:rPr>
          <w:rFonts w:cstheme="minorHAnsi"/>
        </w:rPr>
        <w:t>Presentations on our electricity and natural gas markets were prepared for the Turkish-EU High Level Energy Dialogue meeting held in Brussels on 26-27 February 2018 and attended the meeting by the authorities of EMRA. 128th meeting of the Association Committee established by Decision No. 3/64 of Turkey-EU Association Council was held in Brussels on November 28, 2018. Detailed information notes on the Electricity and Natural Gas market related to the energy heading on the agenda of the meeting were prepared and our experts participated in the preparatory meetings.</w:t>
      </w:r>
    </w:p>
    <w:p w:rsidR="00FE7FEB" w:rsidRPr="00947D59" w:rsidRDefault="00FE7FEB" w:rsidP="00FE7FEB">
      <w:pPr>
        <w:spacing w:after="120" w:line="240" w:lineRule="auto"/>
        <w:jc w:val="both"/>
        <w:rPr>
          <w:rFonts w:cstheme="minorHAnsi"/>
        </w:rPr>
      </w:pPr>
    </w:p>
    <w:p w:rsidR="00FE7FEB" w:rsidRPr="00947D59" w:rsidRDefault="00FE7FEB" w:rsidP="00691CB6">
      <w:pPr>
        <w:pStyle w:val="Balk2"/>
      </w:pPr>
      <w:bookmarkStart w:id="373" w:name="_Toc12956386"/>
      <w:r w:rsidRPr="00947D59">
        <w:t xml:space="preserve">12.4. </w:t>
      </w:r>
      <w:r w:rsidRPr="00947D59">
        <w:tab/>
        <w:t>The Studies in the Areas Falling within the Organization’s Mandate in Which Our Country is a Part of it or Have Relations with</w:t>
      </w:r>
      <w:bookmarkEnd w:id="373"/>
      <w:r w:rsidRPr="00947D59">
        <w:t xml:space="preserve"> </w:t>
      </w:r>
    </w:p>
    <w:p w:rsidR="00FE7FEB" w:rsidRPr="00947D59" w:rsidRDefault="00FE7FEB" w:rsidP="00FE7FEB">
      <w:pPr>
        <w:rPr>
          <w:rFonts w:cstheme="minorHAnsi"/>
        </w:rPr>
      </w:pPr>
      <w:r w:rsidRPr="00947D59">
        <w:rPr>
          <w:rFonts w:cstheme="minorHAnsi"/>
        </w:rPr>
        <w:t>In the committees, working groups, task forces etc. under BSEC, OECD Economic Regulators Network (OECD-NER), IEA, World Trade Organization, Economic Cooperation Organization (ECO), EMRA staff is assigned in order to represent the Authority and the activities of the mentioned organizations are followed.</w:t>
      </w:r>
    </w:p>
    <w:p w:rsidR="00FE7FEB" w:rsidRPr="00947D59" w:rsidRDefault="00FE7FEB" w:rsidP="00FE7FEB">
      <w:pPr>
        <w:rPr>
          <w:rFonts w:cstheme="minorHAnsi"/>
        </w:rPr>
      </w:pPr>
      <w:r w:rsidRPr="00947D59">
        <w:rPr>
          <w:rFonts w:cstheme="minorHAnsi"/>
        </w:rPr>
        <w:t>The work on the establishment of a Forum among the energy organizers of the BSEC member countries agreed at the “Roundtable Meeting of the BSEC Countries Energy Regulators” held on 16 June 2017 in Istanbul hosted by the Authority continued in 2018 and it is foreseen that the draft of the founding document will be submitted to the BSEC member countries' energy regulators in 2019.</w:t>
      </w:r>
    </w:p>
    <w:p w:rsidR="00FE7FEB" w:rsidRPr="00947D59" w:rsidRDefault="00FE7FEB" w:rsidP="00FE7FEB">
      <w:pPr>
        <w:rPr>
          <w:rFonts w:cstheme="minorHAnsi"/>
        </w:rPr>
      </w:pPr>
      <w:r w:rsidRPr="00947D59">
        <w:rPr>
          <w:rFonts w:cstheme="minorHAnsi"/>
        </w:rPr>
        <w:t>Within the framework of our cooperation with the Economic Cooperation Organization (ECO),which was established in 1985 and which our country is also a founding member of, both the ECO Regional Planning Council Meeting for ECO Secretariat made by the preparatory work on both Turkey and Iran between delegations conducted "Economic Cooperation Organization (ECO) Free Electricity Trading Establishment in the region" has contributed to the oriented projects under study by the MENR. Again, the "International and Local Consultant Assignment Specification (TOR)" prepared under this project was examined and the opinions formed were shared with MENR.</w:t>
      </w:r>
    </w:p>
    <w:p w:rsidR="00FE7FEB" w:rsidRPr="00947D59" w:rsidRDefault="00FE7FEB" w:rsidP="00FE7FEB">
      <w:pPr>
        <w:rPr>
          <w:rFonts w:cstheme="minorHAnsi"/>
        </w:rPr>
      </w:pPr>
      <w:r w:rsidRPr="00947D59">
        <w:rPr>
          <w:rFonts w:cstheme="minorHAnsi"/>
        </w:rPr>
        <w:t>The necessary contribution was made within the scope of the Joint Economic and Trade Commission (JETCO) meetings held between Turkey and Georgia and Portugal under the coordination of the Ministry of Trade.</w:t>
      </w:r>
    </w:p>
    <w:p w:rsidR="00FE7FEB" w:rsidRPr="00947D59" w:rsidRDefault="00FE7FEB" w:rsidP="00FE7FEB">
      <w:pPr>
        <w:rPr>
          <w:rFonts w:cstheme="minorHAnsi"/>
        </w:rPr>
      </w:pPr>
      <w:r w:rsidRPr="00947D59">
        <w:rPr>
          <w:rFonts w:cstheme="minorHAnsi"/>
        </w:rPr>
        <w:t>Within the scope of TİSA (Services Trade Agreement) negotiations, which were carried out by a group of World Trade Organization (WTO) member countries, coordination with the Ministry of Trade continued and necessary notifications were made to the Ministry in order to contribute to the negotiation of free trade agreements.</w:t>
      </w:r>
    </w:p>
    <w:p w:rsidR="00FE7FEB" w:rsidRPr="00947D59" w:rsidRDefault="00FE7FEB" w:rsidP="00FE7FEB">
      <w:pPr>
        <w:rPr>
          <w:rFonts w:cstheme="minorHAnsi"/>
        </w:rPr>
      </w:pPr>
      <w:r w:rsidRPr="00947D59">
        <w:rPr>
          <w:rFonts w:cstheme="minorHAnsi"/>
        </w:rPr>
        <w:t>At the same time, in accordance with the provisions of Article 12.7 of the WTO Subsidies and Compensatory Measures Agreement to which Turkey is a party, within the scope of investigations conducted by different countries (Australian Subsidy Investigation, Canadian Anti-Dumping Investigation, United States 1st and 2nd Subsidy Investigations) ) were answered within the framework of interests and institutions involved in the question papers has been answered by the Government of the Republic of Turkey.</w:t>
      </w:r>
    </w:p>
    <w:p w:rsidR="00FE7FEB" w:rsidRPr="00947D59" w:rsidRDefault="00FE7FEB" w:rsidP="00FE7FEB">
      <w:pPr>
        <w:rPr>
          <w:rFonts w:cstheme="minorHAnsi"/>
        </w:rPr>
      </w:pPr>
      <w:r w:rsidRPr="00947D59">
        <w:rPr>
          <w:rFonts w:cstheme="minorHAnsi"/>
        </w:rPr>
        <w:t>The demand for legislation to be used in the laws and regulations to be made by the Iraqi authorities in the field of renewable energy was welcomed and documents and legislation support was provided in English.</w:t>
      </w:r>
    </w:p>
    <w:p w:rsidR="00FE7FEB" w:rsidRPr="00947D59" w:rsidRDefault="00FE7FEB" w:rsidP="00FE7FEB">
      <w:pPr>
        <w:rPr>
          <w:rFonts w:cstheme="minorHAnsi"/>
        </w:rPr>
      </w:pPr>
      <w:r w:rsidRPr="00947D59">
        <w:rPr>
          <w:rFonts w:cstheme="minorHAnsi"/>
        </w:rPr>
        <w:t xml:space="preserve">Co-chair of the Working Group on the Regulation of Electricity and Gas Markets, which is one of the working groups established within the scope of energy cooperation with Germany under the leadership of the Ministry of Energy and Natural Resources, was deemed appropriate by the authority of the Authority. In the annual plan prepared within the scope of the working group, it was decided to address the issues of market transparency, flexibility and demand side participation mechanisms and the functioning of the natural gas market. In this context, it was decided to organize events between the Authority and its German counterpart BNetzA in 2019. </w:t>
      </w:r>
    </w:p>
    <w:p w:rsidR="00FE7FEB" w:rsidRPr="00947D59" w:rsidRDefault="00FE7FEB" w:rsidP="00FE7FEB">
      <w:pPr>
        <w:rPr>
          <w:rFonts w:cstheme="minorHAnsi"/>
        </w:rPr>
      </w:pPr>
      <w:r w:rsidRPr="00947D59">
        <w:rPr>
          <w:rFonts w:cstheme="minorHAnsi"/>
        </w:rPr>
        <w:t>Turkey-France Energy Working Group (EWG) meeting, was held in Paris on February 16, 2018; The staff of the Authority also attended the meeting.</w:t>
      </w:r>
    </w:p>
    <w:p w:rsidR="00FE7FEB" w:rsidRPr="00947D59" w:rsidRDefault="00FE7FEB" w:rsidP="00691CB6">
      <w:pPr>
        <w:pStyle w:val="Balk2"/>
      </w:pPr>
      <w:bookmarkStart w:id="374" w:name="_Toc12956387"/>
      <w:r w:rsidRPr="00947D59">
        <w:t>12.5</w:t>
      </w:r>
      <w:r w:rsidRPr="00947D59">
        <w:tab/>
        <w:t>Monitoring and Reporting of Developments in International Energy Markets</w:t>
      </w:r>
      <w:bookmarkEnd w:id="374"/>
    </w:p>
    <w:p w:rsidR="00FE7FEB" w:rsidRPr="00947D59" w:rsidRDefault="00FE7FEB" w:rsidP="00FE7FEB">
      <w:pPr>
        <w:rPr>
          <w:rFonts w:cstheme="minorHAnsi"/>
        </w:rPr>
      </w:pPr>
      <w:r w:rsidRPr="00947D59">
        <w:rPr>
          <w:rFonts w:cstheme="minorHAnsi"/>
        </w:rPr>
        <w:t>In 2018, the Company continued compiling important news in the foreign press, which began in 2015, and continued to prepare bulletins. In 2018, 13 bulletins were prepared. While compiling the news, attention was paid to follow the idea. The news compiled during the year was classified separately according to their subjects.</w:t>
      </w:r>
    </w:p>
    <w:p w:rsidR="00FE7FEB" w:rsidRPr="00947D59" w:rsidRDefault="00FE7FEB" w:rsidP="00691CB6">
      <w:pPr>
        <w:pStyle w:val="Balk1"/>
      </w:pPr>
      <w:bookmarkStart w:id="375" w:name="_Toc12956388"/>
      <w:r w:rsidRPr="00947D59">
        <w:t>13. HUMAN RESOURCES AND TRAINING ACTIVITIES</w:t>
      </w:r>
      <w:bookmarkEnd w:id="375"/>
    </w:p>
    <w:p w:rsidR="00FE7FEB" w:rsidRPr="00947D59" w:rsidRDefault="00FE7FEB" w:rsidP="00691CB6">
      <w:pPr>
        <w:pStyle w:val="Balk2"/>
      </w:pPr>
      <w:bookmarkStart w:id="376" w:name="_Toc12956389"/>
      <w:r w:rsidRPr="00947D59">
        <w:t xml:space="preserve">13.1. </w:t>
      </w:r>
      <w:r w:rsidRPr="00947D59">
        <w:tab/>
        <w:t>Staff of the Authority</w:t>
      </w:r>
      <w:bookmarkEnd w:id="376"/>
      <w:r w:rsidRPr="00947D59">
        <w:t xml:space="preserve"> </w:t>
      </w:r>
    </w:p>
    <w:p w:rsidR="00FE7FEB" w:rsidRPr="00947D59" w:rsidRDefault="00FE7FEB" w:rsidP="00FE7FEB">
      <w:pPr>
        <w:rPr>
          <w:rFonts w:cstheme="minorHAnsi"/>
        </w:rPr>
      </w:pPr>
      <w:r w:rsidRPr="00947D59">
        <w:rPr>
          <w:rFonts w:cstheme="minorHAnsi"/>
        </w:rPr>
        <w:t>The permanent and main functions required for the Authority’s services are performed by contracted staff employed through administrative service contracts. The President, Board Members and other staff are subject to the provisions of the Law on Social Insurance and General Health Insuranse No: 5434. In accordance with the Supllemnatry Clause 11 added to the Decree Law No. 375 by the Decree Law No:666 published in the Official Gazette dated 02.11.2011 and bis numbered 28103, staff of the Authority appointed on or after 01.15.2012 was subjected to the same wages and financial rights regime with thier equals employed in other public institutions.</w:t>
      </w:r>
    </w:p>
    <w:p w:rsidR="00FE7FEB" w:rsidRPr="00947D59" w:rsidRDefault="00FE7FEB" w:rsidP="00FE7FEB">
      <w:pPr>
        <w:rPr>
          <w:rFonts w:cstheme="minorHAnsi"/>
        </w:rPr>
      </w:pPr>
    </w:p>
    <w:p w:rsidR="00FE7FEB" w:rsidRPr="00216EDE" w:rsidRDefault="00FE7FEB" w:rsidP="00216EDE">
      <w:pPr>
        <w:pStyle w:val="Balk5"/>
      </w:pPr>
      <w:bookmarkStart w:id="377" w:name="_Toc12958542"/>
      <w:r w:rsidRPr="00216EDE">
        <w:t>Table 13.1: Information on staff assignned in 2018</w:t>
      </w:r>
      <w:bookmarkEnd w:id="377"/>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15"/>
        <w:gridCol w:w="767"/>
        <w:gridCol w:w="550"/>
        <w:gridCol w:w="742"/>
        <w:gridCol w:w="742"/>
        <w:gridCol w:w="550"/>
        <w:gridCol w:w="553"/>
        <w:gridCol w:w="696"/>
        <w:gridCol w:w="696"/>
        <w:gridCol w:w="696"/>
        <w:gridCol w:w="839"/>
      </w:tblGrid>
      <w:tr w:rsidR="00FE7FEB" w:rsidRPr="00947D59" w:rsidTr="00D816E6">
        <w:trPr>
          <w:trHeight w:val="20"/>
          <w:jc w:val="center"/>
        </w:trPr>
        <w:tc>
          <w:tcPr>
            <w:tcW w:w="1436"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947D59" w:rsidRDefault="00FE7FEB" w:rsidP="00D816E6">
            <w:pPr>
              <w:spacing w:after="0"/>
              <w:rPr>
                <w:rFonts w:cstheme="minorHAnsi"/>
                <w:b/>
                <w:bCs/>
                <w:color w:val="FFFFFF" w:themeColor="background1"/>
              </w:rPr>
            </w:pPr>
            <w:r w:rsidRPr="00947D59">
              <w:rPr>
                <w:rFonts w:cstheme="minorHAnsi"/>
                <w:b/>
                <w:bCs/>
                <w:color w:val="FFFFFF" w:themeColor="background1"/>
              </w:rPr>
              <w:t>TITLE OF CADRES</w:t>
            </w:r>
          </w:p>
        </w:tc>
        <w:tc>
          <w:tcPr>
            <w:tcW w:w="416"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br/>
              <w:t>NO</w:t>
            </w:r>
          </w:p>
        </w:tc>
        <w:tc>
          <w:tcPr>
            <w:tcW w:w="1560" w:type="pct"/>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EDUCATION</w:t>
            </w:r>
          </w:p>
        </w:tc>
        <w:tc>
          <w:tcPr>
            <w:tcW w:w="756"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947D59" w:rsidRDefault="00FE7FEB" w:rsidP="00D816E6">
            <w:pPr>
              <w:spacing w:after="0"/>
              <w:ind w:right="-157"/>
              <w:jc w:val="center"/>
              <w:rPr>
                <w:rFonts w:cstheme="minorHAnsi"/>
                <w:b/>
                <w:bCs/>
                <w:color w:val="FFFFFF" w:themeColor="background1"/>
              </w:rPr>
            </w:pPr>
            <w:r w:rsidRPr="00947D59">
              <w:rPr>
                <w:rFonts w:cstheme="minorHAnsi"/>
                <w:b/>
                <w:bCs/>
                <w:color w:val="FFFFFF" w:themeColor="background1"/>
              </w:rPr>
              <w:t>GENDER</w:t>
            </w:r>
          </w:p>
        </w:tc>
        <w:tc>
          <w:tcPr>
            <w:tcW w:w="831"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ind w:right="-7"/>
              <w:jc w:val="center"/>
              <w:rPr>
                <w:rFonts w:cstheme="minorHAnsi"/>
                <w:b/>
                <w:bCs/>
                <w:color w:val="FFFFFF" w:themeColor="background1"/>
              </w:rPr>
            </w:pPr>
            <w:r w:rsidRPr="00947D59">
              <w:rPr>
                <w:rFonts w:cstheme="minorHAnsi"/>
                <w:b/>
                <w:bCs/>
                <w:color w:val="FFFFFF" w:themeColor="background1"/>
              </w:rPr>
              <w:t xml:space="preserve">ASSIGNMENT </w:t>
            </w:r>
          </w:p>
          <w:p w:rsidR="00FE7FEB" w:rsidRPr="00947D59" w:rsidRDefault="00FE7FEB" w:rsidP="00D816E6">
            <w:pPr>
              <w:spacing w:after="0"/>
              <w:ind w:right="-7"/>
              <w:jc w:val="center"/>
              <w:rPr>
                <w:rFonts w:cstheme="minorHAnsi"/>
                <w:b/>
                <w:bCs/>
                <w:color w:val="FFFFFF" w:themeColor="background1"/>
              </w:rPr>
            </w:pPr>
            <w:r w:rsidRPr="00947D59">
              <w:rPr>
                <w:rFonts w:cstheme="minorHAnsi"/>
                <w:b/>
                <w:bCs/>
                <w:color w:val="FFFFFF" w:themeColor="background1"/>
              </w:rPr>
              <w:t>TYPE</w:t>
            </w:r>
          </w:p>
        </w:tc>
      </w:tr>
      <w:tr w:rsidR="00FE7FEB" w:rsidRPr="00947D59" w:rsidTr="00D816E6">
        <w:trPr>
          <w:trHeight w:val="183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cstheme="minorHAnsi"/>
                <w:b/>
                <w:bCs/>
                <w:color w:val="FFFFFF" w:themeColor="background1"/>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cstheme="minorHAnsi"/>
                <w:b/>
                <w:bCs/>
                <w:color w:val="FFFFFF" w:themeColor="background1"/>
              </w:rPr>
            </w:pP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SECONDARY EDUCATION</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2 YEARS’</w:t>
            </w:r>
          </w:p>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UNIVERSITY</w:t>
            </w:r>
          </w:p>
        </w:tc>
        <w:tc>
          <w:tcPr>
            <w:tcW w:w="3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4 YEARS’</w:t>
            </w:r>
          </w:p>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UNIVERSITY</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MASTERS</w:t>
            </w:r>
          </w:p>
        </w:tc>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DOKTORATE</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FEMALE</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MEN</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OUTSIDE</w:t>
            </w:r>
          </w:p>
        </w:tc>
        <w:tc>
          <w:tcPr>
            <w:tcW w:w="4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TRANSFER</w:t>
            </w:r>
          </w:p>
        </w:tc>
      </w:tr>
      <w:tr w:rsidR="00FE7FEB" w:rsidRPr="00947D59" w:rsidTr="00D816E6">
        <w:trPr>
          <w:trHeight w:val="20"/>
          <w:jc w:val="center"/>
        </w:trPr>
        <w:tc>
          <w:tcPr>
            <w:tcW w:w="1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Assistant Energy Expert</w:t>
            </w:r>
          </w:p>
        </w:tc>
        <w:tc>
          <w:tcPr>
            <w:tcW w:w="4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31</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30</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9</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22</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24</w:t>
            </w:r>
          </w:p>
        </w:tc>
        <w:tc>
          <w:tcPr>
            <w:tcW w:w="4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7</w:t>
            </w:r>
          </w:p>
        </w:tc>
      </w:tr>
      <w:tr w:rsidR="00FE7FEB" w:rsidRPr="00947D59" w:rsidTr="00D816E6">
        <w:trPr>
          <w:trHeight w:val="20"/>
          <w:jc w:val="center"/>
        </w:trPr>
        <w:tc>
          <w:tcPr>
            <w:tcW w:w="1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Administrative Officer</w:t>
            </w:r>
          </w:p>
        </w:tc>
        <w:tc>
          <w:tcPr>
            <w:tcW w:w="4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E7FEB" w:rsidRPr="00947D59" w:rsidRDefault="00FE7FEB" w:rsidP="00D816E6">
            <w:pPr>
              <w:spacing w:after="0"/>
              <w:jc w:val="center"/>
              <w:rPr>
                <w:rFonts w:cstheme="minorHAnsi"/>
                <w:color w:val="000000" w:themeColor="text1"/>
              </w:rPr>
            </w:pPr>
          </w:p>
        </w:tc>
        <w:tc>
          <w:tcPr>
            <w:tcW w:w="4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w:t>
            </w:r>
          </w:p>
        </w:tc>
      </w:tr>
      <w:tr w:rsidR="00FE7FEB" w:rsidRPr="00947D59" w:rsidTr="00D816E6">
        <w:trPr>
          <w:trHeight w:val="20"/>
          <w:jc w:val="center"/>
        </w:trPr>
        <w:tc>
          <w:tcPr>
            <w:tcW w:w="1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Architect</w:t>
            </w:r>
          </w:p>
        </w:tc>
        <w:tc>
          <w:tcPr>
            <w:tcW w:w="4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E7FEB" w:rsidRPr="00947D59" w:rsidRDefault="00FE7FEB" w:rsidP="00D816E6">
            <w:pPr>
              <w:spacing w:after="0"/>
              <w:jc w:val="center"/>
              <w:rPr>
                <w:rFonts w:cstheme="minorHAnsi"/>
                <w:color w:val="000000" w:themeColor="text1"/>
              </w:rPr>
            </w:pPr>
          </w:p>
        </w:tc>
        <w:tc>
          <w:tcPr>
            <w:tcW w:w="4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jc w:val="center"/>
        </w:trPr>
        <w:tc>
          <w:tcPr>
            <w:tcW w:w="1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Mechanic</w:t>
            </w:r>
          </w:p>
        </w:tc>
        <w:tc>
          <w:tcPr>
            <w:tcW w:w="4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E7FEB" w:rsidRPr="00947D59" w:rsidRDefault="00FE7FEB" w:rsidP="00D816E6">
            <w:pPr>
              <w:spacing w:after="0"/>
              <w:jc w:val="center"/>
              <w:rPr>
                <w:rFonts w:cstheme="minorHAnsi"/>
                <w:color w:val="000000" w:themeColor="text1"/>
              </w:rPr>
            </w:pP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E7FEB" w:rsidRPr="00947D59" w:rsidRDefault="00FE7FEB" w:rsidP="00D816E6">
            <w:pPr>
              <w:spacing w:after="0"/>
              <w:jc w:val="center"/>
              <w:rPr>
                <w:rFonts w:cstheme="minorHAnsi"/>
                <w:color w:val="000000" w:themeColor="text1"/>
              </w:rPr>
            </w:pPr>
          </w:p>
        </w:tc>
        <w:tc>
          <w:tcPr>
            <w:tcW w:w="4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jc w:val="center"/>
        </w:trPr>
        <w:tc>
          <w:tcPr>
            <w:tcW w:w="1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cstheme="minorHAnsi"/>
                <w:b/>
                <w:color w:val="000000" w:themeColor="text1"/>
              </w:rPr>
            </w:pPr>
            <w:r w:rsidRPr="00947D59">
              <w:rPr>
                <w:rFonts w:cstheme="minorHAnsi"/>
                <w:b/>
                <w:color w:val="000000" w:themeColor="text1"/>
              </w:rPr>
              <w:t>TOTAL</w:t>
            </w:r>
          </w:p>
        </w:tc>
        <w:tc>
          <w:tcPr>
            <w:tcW w:w="4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36</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1</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w:t>
            </w:r>
          </w:p>
        </w:tc>
        <w:tc>
          <w:tcPr>
            <w:tcW w:w="3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34</w:t>
            </w:r>
          </w:p>
        </w:tc>
        <w:tc>
          <w:tcPr>
            <w:tcW w:w="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1</w:t>
            </w:r>
          </w:p>
        </w:tc>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12</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24</w:t>
            </w:r>
          </w:p>
        </w:tc>
        <w:tc>
          <w:tcPr>
            <w:tcW w:w="3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24</w:t>
            </w:r>
          </w:p>
        </w:tc>
        <w:tc>
          <w:tcPr>
            <w:tcW w:w="4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12</w:t>
            </w:r>
          </w:p>
        </w:tc>
      </w:tr>
    </w:tbl>
    <w:p w:rsidR="00FE7FEB" w:rsidRPr="00947D59" w:rsidRDefault="00FE7FEB" w:rsidP="00FE7FEB">
      <w:pPr>
        <w:rPr>
          <w:rFonts w:cstheme="minorHAnsi"/>
        </w:rPr>
      </w:pPr>
    </w:p>
    <w:p w:rsidR="00FE7FEB" w:rsidRPr="00947D59" w:rsidRDefault="00FE7FEB" w:rsidP="00FE7FEB">
      <w:pPr>
        <w:rPr>
          <w:rFonts w:cstheme="minorHAnsi"/>
        </w:rPr>
      </w:pPr>
    </w:p>
    <w:p w:rsidR="00FE7FEB" w:rsidRPr="00216EDE" w:rsidRDefault="00FE7FEB" w:rsidP="00216EDE">
      <w:pPr>
        <w:pStyle w:val="Balk5"/>
      </w:pPr>
      <w:bookmarkStart w:id="378" w:name="_Toc512874187"/>
      <w:bookmarkStart w:id="379" w:name="_Toc12958543"/>
      <w:r w:rsidRPr="00216EDE">
        <w:t>Table 13.2: Information on the staff who left the Authority in 201</w:t>
      </w:r>
      <w:bookmarkEnd w:id="378"/>
      <w:r w:rsidRPr="00216EDE">
        <w:t>8</w:t>
      </w:r>
      <w:bookmarkEnd w:id="379"/>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694"/>
        <w:gridCol w:w="632"/>
        <w:gridCol w:w="457"/>
        <w:gridCol w:w="457"/>
        <w:gridCol w:w="457"/>
        <w:gridCol w:w="457"/>
        <w:gridCol w:w="459"/>
        <w:gridCol w:w="497"/>
        <w:gridCol w:w="497"/>
        <w:gridCol w:w="488"/>
        <w:gridCol w:w="488"/>
        <w:gridCol w:w="488"/>
        <w:gridCol w:w="488"/>
        <w:gridCol w:w="488"/>
        <w:gridCol w:w="499"/>
      </w:tblGrid>
      <w:tr w:rsidR="00FE7FEB" w:rsidRPr="00947D59" w:rsidTr="00D816E6">
        <w:trPr>
          <w:trHeight w:val="352"/>
        </w:trPr>
        <w:tc>
          <w:tcPr>
            <w:tcW w:w="1412"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tcPr>
          <w:p w:rsidR="00FE7FEB" w:rsidRPr="00947D59" w:rsidRDefault="00FE7FEB" w:rsidP="00D816E6">
            <w:pPr>
              <w:spacing w:after="0"/>
              <w:jc w:val="center"/>
              <w:rPr>
                <w:rFonts w:cstheme="minorHAnsi"/>
                <w:b/>
                <w:bCs/>
                <w:color w:val="FFFFFF" w:themeColor="background1"/>
              </w:rPr>
            </w:pPr>
          </w:p>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TITLES of CADRES</w:t>
            </w:r>
          </w:p>
        </w:tc>
        <w:tc>
          <w:tcPr>
            <w:tcW w:w="332"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br/>
              <w:t>NO</w:t>
            </w:r>
          </w:p>
        </w:tc>
        <w:tc>
          <w:tcPr>
            <w:tcW w:w="1201" w:type="pct"/>
            <w:gridSpan w:val="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EDUCATION</w:t>
            </w:r>
          </w:p>
        </w:tc>
        <w:tc>
          <w:tcPr>
            <w:tcW w:w="513"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947D59" w:rsidRDefault="00FE7FEB" w:rsidP="00D816E6">
            <w:pPr>
              <w:spacing w:after="0"/>
              <w:ind w:right="-157"/>
              <w:rPr>
                <w:rFonts w:cstheme="minorHAnsi"/>
                <w:b/>
                <w:bCs/>
                <w:color w:val="FFFFFF" w:themeColor="background1"/>
              </w:rPr>
            </w:pPr>
            <w:r w:rsidRPr="00947D59">
              <w:rPr>
                <w:rFonts w:cstheme="minorHAnsi"/>
                <w:b/>
                <w:bCs/>
                <w:color w:val="FFFFFF" w:themeColor="background1"/>
              </w:rPr>
              <w:t xml:space="preserve">     GENDER</w:t>
            </w:r>
          </w:p>
        </w:tc>
        <w:tc>
          <w:tcPr>
            <w:tcW w:w="1542" w:type="pct"/>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47D59" w:rsidRDefault="00FE7FEB" w:rsidP="00D816E6">
            <w:pPr>
              <w:spacing w:after="0"/>
              <w:ind w:right="-157"/>
              <w:jc w:val="center"/>
              <w:rPr>
                <w:rFonts w:cstheme="minorHAnsi"/>
                <w:b/>
                <w:bCs/>
                <w:color w:val="FFFFFF" w:themeColor="background1"/>
              </w:rPr>
            </w:pPr>
            <w:r w:rsidRPr="00947D59">
              <w:rPr>
                <w:rFonts w:cstheme="minorHAnsi"/>
                <w:b/>
                <w:bCs/>
                <w:color w:val="FFFFFF" w:themeColor="background1"/>
              </w:rPr>
              <w:t>REASON OF LEAVING</w:t>
            </w:r>
          </w:p>
        </w:tc>
      </w:tr>
      <w:tr w:rsidR="00FE7FEB" w:rsidRPr="00947D59" w:rsidTr="00D816E6">
        <w:trPr>
          <w:trHeight w:val="1507"/>
        </w:trPr>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
                <w:bCs/>
                <w:color w:val="FFFFFF" w:themeColor="background1"/>
              </w:rPr>
            </w:pPr>
          </w:p>
        </w:tc>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
                <w:bCs/>
                <w:color w:val="FFFFFF" w:themeColor="background1"/>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HIGHSCHOOL</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2 YEARS UNIVERSITY</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4 YEARS UNIVERSITY</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MASTERS</w:t>
            </w: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DOKTORATE</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FEMALE</w:t>
            </w: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MEN</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RESIGNED</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RETIRED</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TRANSFERRED</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EXPELLED</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DEEMED RESIGNED</w:t>
            </w: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DEATH</w:t>
            </w: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Pr="00947D59" w:rsidRDefault="00FE7FEB" w:rsidP="00D816E6">
            <w:pPr>
              <w:spacing w:after="0"/>
              <w:rPr>
                <w:rFonts w:cstheme="minorHAnsi"/>
              </w:rPr>
            </w:pPr>
            <w:r w:rsidRPr="00947D59">
              <w:rPr>
                <w:rFonts w:cstheme="minorHAnsi"/>
              </w:rPr>
              <w:t xml:space="preserve">Vice President </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Pr="00947D59" w:rsidRDefault="00FE7FEB" w:rsidP="00D816E6">
            <w:pPr>
              <w:spacing w:after="0"/>
              <w:rPr>
                <w:rFonts w:cstheme="minorHAnsi"/>
              </w:rPr>
            </w:pPr>
            <w:r w:rsidRPr="00947D59">
              <w:rPr>
                <w:rFonts w:cstheme="minorHAnsi"/>
              </w:rPr>
              <w:t>Counsellor to the President</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3</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2</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3</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FE7FEB" w:rsidRPr="00947D59" w:rsidRDefault="00FE7FEB" w:rsidP="00D816E6">
            <w:pPr>
              <w:spacing w:after="0"/>
              <w:rPr>
                <w:rFonts w:cstheme="minorHAnsi"/>
              </w:rPr>
            </w:pPr>
            <w:r w:rsidRPr="00947D59">
              <w:rPr>
                <w:rFonts w:cstheme="minorHAnsi"/>
              </w:rPr>
              <w:t>Group Head</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E7FEB" w:rsidRPr="00947D59" w:rsidRDefault="00FE7FEB" w:rsidP="00D816E6">
            <w:pPr>
              <w:spacing w:after="0"/>
              <w:rPr>
                <w:rFonts w:cstheme="minorHAnsi"/>
              </w:rPr>
            </w:pPr>
            <w:r w:rsidRPr="00947D59">
              <w:rPr>
                <w:rFonts w:cstheme="minorHAnsi"/>
              </w:rPr>
              <w:t>Energy Expert</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5</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5</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2</w:t>
            </w: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3</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5</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FE7FEB" w:rsidRPr="00947D59" w:rsidRDefault="00FE7FEB" w:rsidP="00D816E6">
            <w:pPr>
              <w:spacing w:after="0"/>
              <w:rPr>
                <w:rFonts w:cstheme="minorHAnsi"/>
              </w:rPr>
            </w:pPr>
            <w:r w:rsidRPr="00947D59">
              <w:rPr>
                <w:rFonts w:cstheme="minorHAnsi"/>
              </w:rPr>
              <w:t>Assistant Energy Expert</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3</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3</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3</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FE7FEB" w:rsidRPr="00947D59" w:rsidRDefault="00FE7FEB" w:rsidP="00D816E6">
            <w:pPr>
              <w:spacing w:after="0"/>
              <w:rPr>
                <w:rFonts w:cstheme="minorHAnsi"/>
              </w:rPr>
            </w:pPr>
            <w:r w:rsidRPr="00947D59">
              <w:rPr>
                <w:rFonts w:cstheme="minorHAnsi"/>
              </w:rPr>
              <w:t>Lawyer</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2</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2</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FE7FEB" w:rsidRPr="00947D59" w:rsidRDefault="00FE7FEB" w:rsidP="00D816E6">
            <w:pPr>
              <w:spacing w:after="0"/>
              <w:rPr>
                <w:rFonts w:cstheme="minorHAnsi"/>
              </w:rPr>
            </w:pPr>
            <w:r w:rsidRPr="00947D59">
              <w:rPr>
                <w:rFonts w:cstheme="minorHAnsi"/>
              </w:rPr>
              <w:t>Administratve Services Expert</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2</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2</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FE7FEB" w:rsidRPr="00947D59" w:rsidRDefault="00FE7FEB" w:rsidP="00D816E6">
            <w:pPr>
              <w:spacing w:after="0"/>
              <w:rPr>
                <w:rFonts w:cstheme="minorHAnsi"/>
              </w:rPr>
            </w:pPr>
            <w:r w:rsidRPr="00947D59">
              <w:rPr>
                <w:rFonts w:cstheme="minorHAnsi"/>
              </w:rPr>
              <w:t>Administrative Officer</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FE7FEB" w:rsidRPr="00947D59" w:rsidRDefault="00FE7FEB" w:rsidP="00D816E6">
            <w:pPr>
              <w:spacing w:after="0"/>
              <w:rPr>
                <w:rFonts w:cstheme="minorHAnsi"/>
              </w:rPr>
            </w:pPr>
            <w:r w:rsidRPr="00947D59">
              <w:rPr>
                <w:rFonts w:cstheme="minorHAnsi"/>
              </w:rPr>
              <w:t>Communication Officer</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2</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FE7FEB" w:rsidRPr="00947D59" w:rsidRDefault="00FE7FEB" w:rsidP="00D816E6">
            <w:pPr>
              <w:spacing w:after="0"/>
              <w:rPr>
                <w:rFonts w:cstheme="minorHAnsi"/>
              </w:rPr>
            </w:pPr>
            <w:r w:rsidRPr="00947D59">
              <w:rPr>
                <w:rFonts w:cstheme="minorHAnsi"/>
              </w:rPr>
              <w:t>Driver</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rPr>
            </w:pP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rPr>
            </w:pPr>
            <w:r w:rsidRPr="00947D59">
              <w:rPr>
                <w:rFonts w:cstheme="minorHAnsi"/>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spacing w:after="0"/>
              <w:jc w:val="center"/>
              <w:rPr>
                <w:rFonts w:cstheme="minorHAnsi"/>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rPr>
            </w:pPr>
          </w:p>
        </w:tc>
      </w:tr>
      <w:tr w:rsidR="00FE7FEB" w:rsidRPr="00947D59" w:rsidTr="00D816E6">
        <w:trPr>
          <w:trHeight w:val="397"/>
        </w:trPr>
        <w:tc>
          <w:tcPr>
            <w:tcW w:w="14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FE7FEB" w:rsidRPr="00947D59" w:rsidRDefault="00FE7FEB" w:rsidP="00D816E6">
            <w:pPr>
              <w:spacing w:after="0"/>
              <w:rPr>
                <w:rFonts w:cstheme="minorHAnsi"/>
                <w:b/>
              </w:rPr>
            </w:pPr>
            <w:r w:rsidRPr="00947D59">
              <w:rPr>
                <w:rFonts w:cstheme="minorHAnsi"/>
                <w:b/>
              </w:rPr>
              <w:t>TOTAL</w:t>
            </w:r>
          </w:p>
        </w:tc>
        <w:tc>
          <w:tcPr>
            <w:tcW w:w="3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rPr>
            </w:pPr>
            <w:r w:rsidRPr="00947D59">
              <w:rPr>
                <w:rFonts w:cstheme="minorHAnsi"/>
                <w:b/>
              </w:rPr>
              <w:t>21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rPr>
            </w:pPr>
            <w:r w:rsidRPr="00947D59">
              <w:rPr>
                <w:rFonts w:cstheme="minorHAnsi"/>
                <w:b/>
              </w:rPr>
              <w:t>3</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rPr>
            </w:pPr>
            <w:r w:rsidRPr="00947D59">
              <w:rPr>
                <w:rFonts w:cstheme="minorHAnsi"/>
                <w:b/>
              </w:rPr>
              <w:t>1</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rPr>
            </w:pPr>
            <w:r w:rsidRPr="00947D59">
              <w:rPr>
                <w:rFonts w:cstheme="minorHAnsi"/>
                <w:b/>
              </w:rPr>
              <w:t>15</w:t>
            </w:r>
          </w:p>
        </w:tc>
        <w:tc>
          <w:tcPr>
            <w:tcW w:w="24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rPr>
            </w:pPr>
            <w:r w:rsidRPr="00947D59">
              <w:rPr>
                <w:rFonts w:cstheme="minorHAnsi"/>
                <w:b/>
              </w:rPr>
              <w:t>2</w:t>
            </w:r>
          </w:p>
        </w:tc>
        <w:tc>
          <w:tcPr>
            <w:tcW w:w="24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rPr>
            </w:pPr>
            <w:r w:rsidRPr="00947D59">
              <w:rPr>
                <w:rFonts w:cstheme="minorHAnsi"/>
                <w:b/>
              </w:rPr>
              <w:t>-</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rPr>
            </w:pPr>
            <w:r w:rsidRPr="00947D59">
              <w:rPr>
                <w:rFonts w:cstheme="minorHAnsi"/>
                <w:b/>
              </w:rPr>
              <w:t>4</w:t>
            </w:r>
          </w:p>
        </w:tc>
        <w:tc>
          <w:tcPr>
            <w:tcW w:w="25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rPr>
            </w:pPr>
            <w:r w:rsidRPr="00947D59">
              <w:rPr>
                <w:rFonts w:cstheme="minorHAnsi"/>
                <w:b/>
              </w:rPr>
              <w:t>17</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b/>
              </w:rPr>
            </w:pPr>
            <w:r w:rsidRPr="00947D59">
              <w:rPr>
                <w:rFonts w:cstheme="minorHAnsi"/>
                <w:b/>
              </w:rPr>
              <w:t>3</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b/>
              </w:rPr>
            </w:pPr>
            <w:r w:rsidRPr="00947D59">
              <w:rPr>
                <w:rFonts w:cstheme="minorHAnsi"/>
                <w:b/>
              </w:rPr>
              <w:t>11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b/>
              </w:rPr>
            </w:pPr>
            <w:r w:rsidRPr="00947D59">
              <w:rPr>
                <w:rFonts w:cstheme="minorHAnsi"/>
                <w:b/>
              </w:rPr>
              <w:t>6</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b/>
              </w:rPr>
            </w:pPr>
            <w:r w:rsidRPr="00947D59">
              <w:rPr>
                <w:rFonts w:cstheme="minorHAnsi"/>
                <w:b/>
              </w:rPr>
              <w:t>-</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spacing w:after="0"/>
              <w:jc w:val="center"/>
              <w:rPr>
                <w:rFonts w:cstheme="minorHAnsi"/>
                <w:b/>
              </w:rPr>
            </w:pPr>
            <w:r w:rsidRPr="00947D59">
              <w:rPr>
                <w:rFonts w:cstheme="minorHAnsi"/>
                <w:b/>
              </w:rPr>
              <w:t>-</w:t>
            </w: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b/>
              </w:rPr>
            </w:pPr>
            <w:r w:rsidRPr="00947D59">
              <w:rPr>
                <w:rFonts w:cstheme="minorHAnsi"/>
                <w:b/>
              </w:rPr>
              <w:t>1</w:t>
            </w:r>
          </w:p>
        </w:tc>
      </w:tr>
    </w:tbl>
    <w:p w:rsidR="00FE7FEB" w:rsidRPr="00947D59" w:rsidRDefault="00FE7FEB" w:rsidP="00FE7FEB">
      <w:pPr>
        <w:spacing w:after="0"/>
        <w:jc w:val="both"/>
        <w:rPr>
          <w:rFonts w:cstheme="minorHAnsi"/>
        </w:rPr>
      </w:pPr>
    </w:p>
    <w:p w:rsidR="00FE7FEB" w:rsidRPr="00947D59" w:rsidRDefault="00FE7FEB" w:rsidP="00216EDE">
      <w:r w:rsidRPr="00947D59">
        <w:t>The names and numbers of cadres in the Authority and information on 501 staff as of the end of 2018 are shown in Table 13.3.</w:t>
      </w:r>
    </w:p>
    <w:p w:rsidR="00FE7FEB" w:rsidRPr="00947D59" w:rsidRDefault="00FE7FEB" w:rsidP="00FE7FEB">
      <w:pPr>
        <w:rPr>
          <w:rFonts w:cstheme="minorHAnsi"/>
        </w:rPr>
      </w:pPr>
    </w:p>
    <w:p w:rsidR="00FE7FEB" w:rsidRPr="00216EDE" w:rsidRDefault="00FE7FEB" w:rsidP="00216EDE">
      <w:pPr>
        <w:pStyle w:val="Balk5"/>
      </w:pPr>
      <w:bookmarkStart w:id="380" w:name="_Toc12958544"/>
      <w:r w:rsidRPr="00216EDE">
        <w:t>Table 13.3: Breakdown of Cadres</w:t>
      </w:r>
      <w:bookmarkEnd w:id="380"/>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996"/>
        <w:gridCol w:w="913"/>
        <w:gridCol w:w="1088"/>
        <w:gridCol w:w="560"/>
        <w:gridCol w:w="560"/>
        <w:gridCol w:w="560"/>
        <w:gridCol w:w="560"/>
        <w:gridCol w:w="560"/>
        <w:gridCol w:w="564"/>
        <w:gridCol w:w="600"/>
        <w:gridCol w:w="585"/>
      </w:tblGrid>
      <w:tr w:rsidR="00FE7FEB" w:rsidRPr="00947D59" w:rsidTr="00D816E6">
        <w:trPr>
          <w:trHeight w:val="20"/>
          <w:tblHeader/>
        </w:trPr>
        <w:tc>
          <w:tcPr>
            <w:tcW w:w="1584"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TITLES OF CADRES</w:t>
            </w:r>
          </w:p>
        </w:tc>
        <w:tc>
          <w:tcPr>
            <w:tcW w:w="493"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NO OF TOTAL CADRES</w:t>
            </w:r>
          </w:p>
        </w:tc>
        <w:tc>
          <w:tcPr>
            <w:tcW w:w="423"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NO OF OCCUPIED CADRES</w:t>
            </w:r>
          </w:p>
        </w:tc>
        <w:tc>
          <w:tcPr>
            <w:tcW w:w="1850" w:type="pct"/>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EDUCATIONAL BACKGROUND</w:t>
            </w:r>
          </w:p>
        </w:tc>
        <w:tc>
          <w:tcPr>
            <w:tcW w:w="650"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GENDER</w:t>
            </w:r>
          </w:p>
        </w:tc>
      </w:tr>
      <w:tr w:rsidR="00FE7FEB" w:rsidRPr="00947D59" w:rsidTr="00D816E6">
        <w:trPr>
          <w:trHeight w:val="1080"/>
          <w:tblHeader/>
        </w:trPr>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
                <w:bCs/>
                <w:color w:val="FFFFFF" w:themeColor="background1"/>
              </w:rPr>
            </w:pPr>
          </w:p>
        </w:tc>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
                <w:bCs/>
                <w:color w:val="FFFFFF" w:themeColor="background1"/>
              </w:rPr>
            </w:pPr>
          </w:p>
        </w:tc>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
                <w:bCs/>
                <w:color w:val="FFFFFF" w:themeColor="background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PRIMARY SCHOOL</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SECONDARYSCHOOL</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5F5E6A" w:rsidP="00D816E6">
            <w:pPr>
              <w:spacing w:after="0"/>
              <w:jc w:val="center"/>
              <w:rPr>
                <w:rFonts w:cstheme="minorHAnsi"/>
                <w:b/>
                <w:bCs/>
                <w:color w:val="FFFFFF" w:themeColor="background1"/>
              </w:rPr>
            </w:pPr>
            <w:r>
              <w:rPr>
                <w:rFonts w:cstheme="minorHAnsi"/>
                <w:b/>
                <w:bCs/>
                <w:color w:val="FFFFFF" w:themeColor="background1"/>
              </w:rPr>
              <w:t>PRE-LİCENSE</w:t>
            </w:r>
            <w:r w:rsidR="00FE7FEB" w:rsidRPr="00947D59">
              <w:rPr>
                <w:rFonts w:cstheme="minorHAnsi"/>
                <w:b/>
                <w:bCs/>
                <w:color w:val="FFFFFF" w:themeColor="background1"/>
              </w:rPr>
              <w:t xml:space="preserve"> DEGREE</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BACHELOR’S DEGREE</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MASTERS</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DOKTORATE</w:t>
            </w: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WOMEN</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947D59" w:rsidRDefault="00FE7FEB" w:rsidP="00D816E6">
            <w:pPr>
              <w:spacing w:after="0"/>
              <w:jc w:val="center"/>
              <w:rPr>
                <w:rFonts w:cstheme="minorHAnsi"/>
                <w:b/>
                <w:bCs/>
                <w:color w:val="FFFFFF" w:themeColor="background1"/>
              </w:rPr>
            </w:pPr>
            <w:r w:rsidRPr="00947D59">
              <w:rPr>
                <w:rFonts w:cstheme="minorHAnsi"/>
                <w:b/>
                <w:bCs/>
                <w:color w:val="FFFFFF" w:themeColor="background1"/>
              </w:rPr>
              <w:t>MEN</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rPr>
                <w:rFonts w:cstheme="minorHAnsi"/>
                <w:color w:val="000000" w:themeColor="text1"/>
              </w:rPr>
            </w:pPr>
            <w:bookmarkStart w:id="381" w:name="_Hlk11856869"/>
            <w:bookmarkStart w:id="382" w:name="_Hlk286234746"/>
            <w:r w:rsidRPr="00947D59">
              <w:rPr>
                <w:rFonts w:cstheme="minorHAnsi"/>
                <w:color w:val="000000" w:themeColor="text1"/>
              </w:rPr>
              <w:t>Vice President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Electricity Market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Natural Gas Market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Petroleum Market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LPG Market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Tariffs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Audit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Expropriation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Legal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autoSpaceDE w:val="0"/>
              <w:autoSpaceDN w:val="0"/>
              <w:adjustRightInd w:val="0"/>
              <w:spacing w:after="0" w:line="240" w:lineRule="auto"/>
              <w:rPr>
                <w:rFonts w:cstheme="minorHAnsi"/>
                <w:color w:val="000000" w:themeColor="text1"/>
              </w:rPr>
            </w:pPr>
            <w:r w:rsidRPr="00947D59">
              <w:rPr>
                <w:rFonts w:cstheme="minorHAnsi"/>
                <w:color w:val="000000" w:themeColor="text1"/>
              </w:rPr>
              <w:t>Head of Strategy Development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bookmarkStart w:id="383" w:name="_Hlk316290716"/>
            <w:bookmarkStart w:id="384" w:name="_Hlk351368486"/>
            <w:bookmarkStart w:id="385" w:name="_Hlk316290464"/>
            <w:r w:rsidRPr="00947D59">
              <w:rPr>
                <w:rFonts w:cstheme="minorHAnsi"/>
                <w:color w:val="000000" w:themeColor="text1"/>
              </w:rPr>
              <w:t>Head of Human Resources and Support Services Department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Advisor to the President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19</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7</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10</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Group Head</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67</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55</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33</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18</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w:t>
            </w: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8</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47</w:t>
            </w:r>
          </w:p>
        </w:tc>
      </w:tr>
      <w:tr w:rsidR="00FE7FEB" w:rsidRPr="00947D59" w:rsidTr="00D816E6">
        <w:trPr>
          <w:trHeight w:val="46"/>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Energy Expert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249</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137</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105</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28</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w:t>
            </w: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39</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98</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Assistant Energy Expert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131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83</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82</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32</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51</w:t>
            </w:r>
          </w:p>
        </w:tc>
        <w:bookmarkEnd w:id="381"/>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Lawyer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25</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24</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19</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5</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23</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bookmarkEnd w:id="383"/>
      <w:bookmarkEnd w:id="384"/>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Press and Public Relations Counsellor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Executive Assistant for the President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Manager for the Special Bureau for the Board</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Deputy Executive Assistant for the President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Deputy</w:t>
            </w:r>
            <w:r w:rsidRPr="00947D59">
              <w:rPr>
                <w:rFonts w:cstheme="minorHAnsi"/>
              </w:rPr>
              <w:t xml:space="preserve"> </w:t>
            </w:r>
            <w:r w:rsidRPr="00947D59">
              <w:rPr>
                <w:rFonts w:cstheme="minorHAnsi"/>
                <w:color w:val="000000" w:themeColor="text1"/>
              </w:rPr>
              <w:t>Manager for the Special Bureau for the Board</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Liason Office Manager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Administrative Services Expert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94</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92</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69</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23</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44</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48</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Analyser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8</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5</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5</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Programmer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6</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Doctor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Nurse</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Defense Expert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Mechanic</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highlight w:val="yellow"/>
              </w:rPr>
            </w:pPr>
            <w:r w:rsidRPr="00947D59">
              <w:rPr>
                <w:rFonts w:cstheme="minorHAnsi"/>
                <w:color w:val="000000" w:themeColor="text1"/>
              </w:rPr>
              <w:t>2</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Technician</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Administrative Officer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79</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48</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9</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32</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28</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20</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Communication Officer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20</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15</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15</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Librarian</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Driver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10</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7</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7</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color w:val="000000" w:themeColor="text1"/>
              </w:rPr>
            </w:pPr>
            <w:r w:rsidRPr="00947D59">
              <w:rPr>
                <w:rFonts w:cstheme="minorHAnsi"/>
                <w:color w:val="000000" w:themeColor="text1"/>
              </w:rPr>
              <w:t>Deliveryman</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Cs/>
                <w:color w:val="000000" w:themeColor="text1"/>
              </w:rPr>
            </w:pPr>
            <w:r w:rsidRPr="00947D59">
              <w:rPr>
                <w:rFonts w:cstheme="minorHAnsi"/>
                <w:bCs/>
                <w:color w:val="000000" w:themeColor="text1"/>
              </w:rPr>
              <w:t>Interpreter-Translator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2</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b/>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Cs/>
                <w:color w:val="000000" w:themeColor="text1"/>
              </w:rPr>
            </w:pPr>
            <w:r w:rsidRPr="00947D59">
              <w:rPr>
                <w:rFonts w:cstheme="minorHAnsi"/>
                <w:bCs/>
                <w:color w:val="000000" w:themeColor="text1"/>
              </w:rPr>
              <w:t>Researcher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0</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b/>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Cs/>
                <w:color w:val="000000" w:themeColor="text1"/>
              </w:rPr>
            </w:pPr>
            <w:r w:rsidRPr="00947D59">
              <w:rPr>
                <w:rFonts w:cstheme="minorHAnsi"/>
                <w:bCs/>
                <w:color w:val="000000" w:themeColor="text1"/>
              </w:rPr>
              <w:t>Engineer</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15</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4</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3</w:t>
            </w: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Cs/>
                <w:color w:val="000000" w:themeColor="text1"/>
              </w:rPr>
            </w:pPr>
            <w:r w:rsidRPr="00947D59">
              <w:rPr>
                <w:rFonts w:cstheme="minorHAnsi"/>
                <w:bCs/>
                <w:color w:val="000000" w:themeColor="text1"/>
              </w:rPr>
              <w:t>Architect</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E7FEB" w:rsidRPr="00947D59" w:rsidRDefault="00FE7FEB" w:rsidP="00D816E6">
            <w:pPr>
              <w:spacing w:after="0"/>
              <w:jc w:val="center"/>
              <w:rPr>
                <w:rFonts w:cstheme="minorHAnsi"/>
                <w:b/>
                <w:color w:val="000000" w:themeColor="text1"/>
                <w:highlight w:val="yellow"/>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color w:val="000000" w:themeColor="text1"/>
              </w:rPr>
            </w:pP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color w:val="000000" w:themeColor="text1"/>
              </w:rPr>
            </w:pPr>
            <w:r w:rsidRPr="00947D59">
              <w:rPr>
                <w:rFonts w:cstheme="minorHAnsi"/>
                <w:color w:val="000000" w:themeColor="text1"/>
              </w:rPr>
              <w:t>1</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FE7FEB" w:rsidRPr="00947D59" w:rsidRDefault="00FE7FEB" w:rsidP="00D816E6">
            <w:pPr>
              <w:spacing w:after="0"/>
              <w:jc w:val="center"/>
              <w:rPr>
                <w:rFonts w:cstheme="minorHAnsi"/>
                <w:b/>
                <w:color w:val="000000" w:themeColor="text1"/>
              </w:rPr>
            </w:pPr>
          </w:p>
        </w:tc>
      </w:tr>
      <w:tr w:rsidR="00FE7FEB" w:rsidRPr="00947D59" w:rsidTr="00D816E6">
        <w:trPr>
          <w:trHeight w:val="20"/>
        </w:trPr>
        <w:tc>
          <w:tcPr>
            <w:tcW w:w="15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rPr>
                <w:rFonts w:cstheme="minorHAnsi"/>
                <w:b/>
                <w:bCs/>
                <w:color w:val="000000" w:themeColor="text1"/>
              </w:rPr>
            </w:pPr>
            <w:r w:rsidRPr="00947D59">
              <w:rPr>
                <w:rFonts w:cstheme="minorHAnsi"/>
                <w:b/>
                <w:bCs/>
                <w:color w:val="000000" w:themeColor="text1"/>
              </w:rPr>
              <w:t>TOTAL</w:t>
            </w:r>
          </w:p>
        </w:tc>
        <w:tc>
          <w:tcPr>
            <w:tcW w:w="4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755</w:t>
            </w:r>
          </w:p>
        </w:tc>
        <w:tc>
          <w:tcPr>
            <w:tcW w:w="42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501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1</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16</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9</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379</w:t>
            </w:r>
          </w:p>
        </w:tc>
        <w:tc>
          <w:tcPr>
            <w:tcW w:w="3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86</w:t>
            </w:r>
          </w:p>
        </w:tc>
        <w:tc>
          <w:tcPr>
            <w:tcW w:w="3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10</w:t>
            </w:r>
          </w:p>
        </w:tc>
        <w:tc>
          <w:tcPr>
            <w:tcW w:w="32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197</w:t>
            </w:r>
          </w:p>
        </w:tc>
        <w:tc>
          <w:tcPr>
            <w:tcW w:w="3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947D59" w:rsidRDefault="00FE7FEB" w:rsidP="00D816E6">
            <w:pPr>
              <w:spacing w:after="0"/>
              <w:jc w:val="center"/>
              <w:rPr>
                <w:rFonts w:cstheme="minorHAnsi"/>
                <w:b/>
                <w:color w:val="000000" w:themeColor="text1"/>
              </w:rPr>
            </w:pPr>
            <w:r w:rsidRPr="00947D59">
              <w:rPr>
                <w:rFonts w:cstheme="minorHAnsi"/>
                <w:b/>
                <w:color w:val="000000" w:themeColor="text1"/>
              </w:rPr>
              <w:t>304</w:t>
            </w:r>
          </w:p>
        </w:tc>
      </w:tr>
    </w:tbl>
    <w:bookmarkEnd w:id="382"/>
    <w:bookmarkEnd w:id="385"/>
    <w:p w:rsidR="00FE7FEB" w:rsidRPr="00947D59" w:rsidRDefault="00FE7FEB" w:rsidP="00216EDE">
      <w:pPr>
        <w:rPr>
          <w:b/>
          <w:lang w:val="en-GB"/>
        </w:rPr>
      </w:pPr>
      <w:r w:rsidRPr="00947D59">
        <w:rPr>
          <w:lang w:val="en-GB"/>
        </w:rPr>
        <w:t>The changes in the number of employees as per the years is shown in Table 13.4 hereunder.</w:t>
      </w:r>
    </w:p>
    <w:p w:rsidR="00FE7FEB" w:rsidRPr="00216EDE" w:rsidRDefault="00FE7FEB" w:rsidP="00216EDE">
      <w:pPr>
        <w:pStyle w:val="Balk5"/>
      </w:pPr>
      <w:bookmarkStart w:id="386" w:name="_Toc12958545"/>
      <w:r w:rsidRPr="00216EDE">
        <w:t>Table 13.4: Number of Employees by years</w:t>
      </w:r>
      <w:bookmarkEnd w:id="386"/>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1011"/>
        <w:gridCol w:w="575"/>
        <w:gridCol w:w="574"/>
        <w:gridCol w:w="574"/>
        <w:gridCol w:w="574"/>
        <w:gridCol w:w="574"/>
        <w:gridCol w:w="574"/>
        <w:gridCol w:w="574"/>
        <w:gridCol w:w="574"/>
        <w:gridCol w:w="574"/>
        <w:gridCol w:w="574"/>
        <w:gridCol w:w="574"/>
        <w:gridCol w:w="574"/>
        <w:gridCol w:w="574"/>
        <w:gridCol w:w="574"/>
        <w:gridCol w:w="574"/>
      </w:tblGrid>
      <w:tr w:rsidR="00FE7FEB" w:rsidRPr="00947D59" w:rsidTr="00D816E6">
        <w:trPr>
          <w:trHeight w:val="567"/>
        </w:trPr>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line="240" w:lineRule="auto"/>
              <w:jc w:val="center"/>
              <w:rPr>
                <w:rFonts w:eastAsia="Times New Roman" w:cstheme="minorHAnsi"/>
                <w:b/>
                <w:color w:val="FFFFFF" w:themeColor="background1"/>
              </w:rPr>
            </w:pPr>
            <w:r w:rsidRPr="00947D59">
              <w:rPr>
                <w:rFonts w:eastAsia="Times New Roman" w:cstheme="minorHAnsi"/>
                <w:b/>
                <w:color w:val="FFFFFF" w:themeColor="background1"/>
              </w:rPr>
              <w:t>Year</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2004</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2005</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2006</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2007</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2008</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2009</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2010</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2011</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2012</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2013</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2014</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2015</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2016</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2017</w:t>
            </w:r>
          </w:p>
        </w:tc>
        <w:tc>
          <w:tcPr>
            <w:tcW w:w="2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jc w:val="center"/>
              <w:rPr>
                <w:rFonts w:cstheme="minorHAnsi"/>
                <w:color w:val="FFFFFF" w:themeColor="background1"/>
              </w:rPr>
            </w:pPr>
            <w:r w:rsidRPr="00947D59">
              <w:rPr>
                <w:rFonts w:cstheme="minorHAnsi"/>
                <w:color w:val="FFFFFF" w:themeColor="background1"/>
              </w:rPr>
              <w:t>2018</w:t>
            </w:r>
          </w:p>
        </w:tc>
      </w:tr>
      <w:tr w:rsidR="00FE7FEB" w:rsidRPr="00947D59" w:rsidTr="00D816E6">
        <w:trPr>
          <w:trHeight w:val="567"/>
        </w:trPr>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rPr>
            </w:pPr>
            <w:r w:rsidRPr="00947D59">
              <w:rPr>
                <w:rFonts w:eastAsia="Times New Roman" w:cstheme="minorHAnsi"/>
                <w:b/>
              </w:rPr>
              <w:t>Number of Employees</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rPr>
            </w:pPr>
            <w:r w:rsidRPr="00947D59">
              <w:rPr>
                <w:rFonts w:eastAsia="Times New Roman" w:cstheme="minorHAnsi"/>
              </w:rPr>
              <w:t>259</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rPr>
            </w:pPr>
            <w:r w:rsidRPr="00947D59">
              <w:rPr>
                <w:rFonts w:eastAsia="Times New Roman" w:cstheme="minorHAnsi"/>
              </w:rPr>
              <w:t>296</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rPr>
            </w:pPr>
            <w:r w:rsidRPr="00947D59">
              <w:rPr>
                <w:rFonts w:eastAsia="Times New Roman" w:cstheme="minorHAnsi"/>
              </w:rPr>
              <w:t>303</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rPr>
            </w:pPr>
            <w:r w:rsidRPr="00947D59">
              <w:rPr>
                <w:rFonts w:eastAsia="Times New Roman" w:cstheme="minorHAnsi"/>
              </w:rPr>
              <w:t>313</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rPr>
            </w:pPr>
            <w:r w:rsidRPr="00947D59">
              <w:rPr>
                <w:rFonts w:eastAsia="Times New Roman" w:cstheme="minorHAnsi"/>
              </w:rPr>
              <w:t>370</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rPr>
            </w:pPr>
            <w:r w:rsidRPr="00947D59">
              <w:rPr>
                <w:rFonts w:eastAsia="Times New Roman" w:cstheme="minorHAnsi"/>
              </w:rPr>
              <w:t>404</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rPr>
            </w:pPr>
            <w:r w:rsidRPr="00947D59">
              <w:rPr>
                <w:rFonts w:eastAsia="Times New Roman" w:cstheme="minorHAnsi"/>
              </w:rPr>
              <w:t>430</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rPr>
            </w:pPr>
            <w:r w:rsidRPr="00947D59">
              <w:rPr>
                <w:rFonts w:eastAsia="Times New Roman" w:cstheme="minorHAnsi"/>
              </w:rPr>
              <w:t>467</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keepNext/>
              <w:spacing w:after="0" w:line="240" w:lineRule="auto"/>
              <w:jc w:val="center"/>
              <w:rPr>
                <w:rFonts w:eastAsia="Times New Roman" w:cstheme="minorHAnsi"/>
              </w:rPr>
            </w:pPr>
            <w:r w:rsidRPr="00947D59">
              <w:rPr>
                <w:rFonts w:eastAsia="Times New Roman" w:cstheme="minorHAnsi"/>
              </w:rPr>
              <w:t>453</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keepNext/>
              <w:spacing w:after="0" w:line="240" w:lineRule="auto"/>
              <w:jc w:val="center"/>
              <w:rPr>
                <w:rFonts w:eastAsia="Times New Roman" w:cstheme="minorHAnsi"/>
              </w:rPr>
            </w:pPr>
            <w:r w:rsidRPr="00947D59">
              <w:rPr>
                <w:rFonts w:eastAsia="Times New Roman" w:cstheme="minorHAnsi"/>
              </w:rPr>
              <w:t>436</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keepNext/>
              <w:spacing w:after="0" w:line="240" w:lineRule="auto"/>
              <w:jc w:val="center"/>
              <w:rPr>
                <w:rFonts w:eastAsia="Times New Roman" w:cstheme="minorHAnsi"/>
              </w:rPr>
            </w:pPr>
            <w:r w:rsidRPr="00947D59">
              <w:rPr>
                <w:rFonts w:eastAsia="Times New Roman" w:cstheme="minorHAnsi"/>
              </w:rPr>
              <w:t>461</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keepNext/>
              <w:spacing w:after="0" w:line="240" w:lineRule="auto"/>
              <w:jc w:val="center"/>
              <w:rPr>
                <w:rFonts w:eastAsia="Times New Roman" w:cstheme="minorHAnsi"/>
              </w:rPr>
            </w:pPr>
            <w:r w:rsidRPr="00947D59">
              <w:rPr>
                <w:rFonts w:eastAsia="Times New Roman" w:cstheme="minorHAnsi"/>
              </w:rPr>
              <w:t>494</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keepNext/>
              <w:spacing w:after="0" w:line="240" w:lineRule="auto"/>
              <w:jc w:val="center"/>
              <w:rPr>
                <w:rFonts w:eastAsia="Times New Roman" w:cstheme="minorHAnsi"/>
              </w:rPr>
            </w:pPr>
            <w:r w:rsidRPr="00947D59">
              <w:rPr>
                <w:rFonts w:eastAsia="Times New Roman" w:cstheme="minorHAnsi"/>
              </w:rPr>
              <w:t>482</w:t>
            </w:r>
          </w:p>
        </w:tc>
        <w:tc>
          <w:tcPr>
            <w:tcW w:w="3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keepNext/>
              <w:spacing w:after="0" w:line="240" w:lineRule="auto"/>
              <w:jc w:val="center"/>
              <w:rPr>
                <w:rFonts w:eastAsia="Times New Roman" w:cstheme="minorHAnsi"/>
              </w:rPr>
            </w:pPr>
            <w:r w:rsidRPr="00947D59">
              <w:rPr>
                <w:rFonts w:eastAsia="Times New Roman" w:cstheme="minorHAnsi"/>
              </w:rPr>
              <w:t>474</w:t>
            </w:r>
          </w:p>
        </w:tc>
        <w:tc>
          <w:tcPr>
            <w:tcW w:w="2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keepNext/>
              <w:spacing w:after="0" w:line="240" w:lineRule="auto"/>
              <w:jc w:val="center"/>
              <w:rPr>
                <w:rFonts w:eastAsia="Times New Roman" w:cstheme="minorHAnsi"/>
              </w:rPr>
            </w:pPr>
            <w:r w:rsidRPr="00947D59">
              <w:rPr>
                <w:rFonts w:eastAsia="Times New Roman" w:cstheme="minorHAnsi"/>
              </w:rPr>
              <w:t>501</w:t>
            </w:r>
          </w:p>
        </w:tc>
      </w:tr>
    </w:tbl>
    <w:p w:rsidR="00FE7FEB" w:rsidRPr="00947D59" w:rsidRDefault="00FE7FEB" w:rsidP="00FE7FEB">
      <w:pPr>
        <w:rPr>
          <w:rFonts w:cstheme="minorHAnsi"/>
          <w:b/>
          <w:bCs/>
        </w:rPr>
      </w:pPr>
    </w:p>
    <w:p w:rsidR="00FE7FEB" w:rsidRPr="00947D59" w:rsidRDefault="00FE7FEB" w:rsidP="00691CB6">
      <w:pPr>
        <w:pStyle w:val="Balk2"/>
      </w:pPr>
      <w:bookmarkStart w:id="387" w:name="_Toc12956390"/>
      <w:r w:rsidRPr="00947D59">
        <w:t>13.2. Training Activities</w:t>
      </w:r>
      <w:bookmarkEnd w:id="387"/>
    </w:p>
    <w:p w:rsidR="00FE7FEB" w:rsidRPr="00947D59" w:rsidRDefault="00FE7FEB" w:rsidP="00FE7FEB">
      <w:pPr>
        <w:rPr>
          <w:rFonts w:cstheme="minorHAnsi"/>
          <w:b/>
          <w:bCs/>
        </w:rPr>
      </w:pPr>
      <w:r w:rsidRPr="00947D59">
        <w:rPr>
          <w:rFonts w:cstheme="minorHAnsi"/>
        </w:rPr>
        <w:t>In this section, information about the training activities for the staff of the Authority and the information about the trainees are given. As it is clear from the tables on the following pages, the Authority allocates significant time and financial resources for training activities.</w:t>
      </w:r>
    </w:p>
    <w:p w:rsidR="00FE7FEB" w:rsidRPr="00691CB6" w:rsidRDefault="00FE7FEB" w:rsidP="00691CB6">
      <w:pPr>
        <w:pStyle w:val="Balk3"/>
      </w:pPr>
      <w:bookmarkStart w:id="388" w:name="_Toc12956391"/>
      <w:r w:rsidRPr="00691CB6">
        <w:t>13.2.1. In-service Training Activities</w:t>
      </w:r>
      <w:bookmarkEnd w:id="388"/>
    </w:p>
    <w:p w:rsidR="00FE7FEB" w:rsidRPr="00216EDE" w:rsidRDefault="00FE7FEB" w:rsidP="00216EDE">
      <w:pPr>
        <w:pStyle w:val="Balk5"/>
      </w:pPr>
      <w:bookmarkStart w:id="389" w:name="_Toc12958546"/>
      <w:r w:rsidRPr="00216EDE">
        <w:t>Table 13.5: Time and Budget spent for tarianing activities in 2018</w:t>
      </w:r>
      <w:bookmarkEnd w:id="389"/>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89"/>
        <w:gridCol w:w="4444"/>
        <w:gridCol w:w="2089"/>
      </w:tblGrid>
      <w:tr w:rsidR="00FE7FEB" w:rsidRPr="00947D59" w:rsidTr="00D816E6">
        <w:trPr>
          <w:cantSplit/>
          <w:trHeight w:val="20"/>
          <w:tblHead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jc w:val="center"/>
              <w:rPr>
                <w:rFonts w:cstheme="minorHAnsi"/>
                <w:b/>
                <w:color w:val="FFFFFF" w:themeColor="background1"/>
              </w:rPr>
            </w:pPr>
            <w:r w:rsidRPr="00947D59">
              <w:rPr>
                <w:rFonts w:cstheme="minorHAnsi"/>
                <w:b/>
                <w:color w:val="FFFFFF" w:themeColor="background1"/>
              </w:rPr>
              <w:t>Trainer Institution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jc w:val="center"/>
              <w:rPr>
                <w:rFonts w:cstheme="minorHAnsi"/>
                <w:b/>
                <w:color w:val="FFFFFF" w:themeColor="background1"/>
              </w:rPr>
            </w:pPr>
            <w:r w:rsidRPr="00947D59">
              <w:rPr>
                <w:rFonts w:cstheme="minorHAnsi"/>
                <w:b/>
                <w:color w:val="FFFFFF" w:themeColor="background1"/>
              </w:rPr>
              <w:t>Name of the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jc w:val="center"/>
              <w:rPr>
                <w:rFonts w:cstheme="minorHAnsi"/>
                <w:b/>
                <w:color w:val="FFFFFF" w:themeColor="background1"/>
              </w:rPr>
            </w:pPr>
            <w:r w:rsidRPr="00947D59">
              <w:rPr>
                <w:rFonts w:cstheme="minorHAnsi"/>
                <w:b/>
                <w:color w:val="FFFFFF" w:themeColor="background1"/>
              </w:rPr>
              <w:t>No of Participants</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Energy and Natural Resources Ministry Legal Consultancy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rPr>
            </w:pPr>
            <w:r w:rsidRPr="00947D59">
              <w:rPr>
                <w:rFonts w:cstheme="minorHAnsi"/>
              </w:rPr>
              <w:t>Training on Duties, Powers and Responsibilities of Mediation Commissions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6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rPr>
                <w:rFonts w:cstheme="minorHAnsi"/>
              </w:rPr>
            </w:pPr>
          </w:p>
          <w:p w:rsidR="00FE7FEB" w:rsidRPr="00947D59" w:rsidRDefault="00FE7FEB" w:rsidP="00D816E6">
            <w:pPr>
              <w:rPr>
                <w:rFonts w:cstheme="minorHAnsi"/>
              </w:rPr>
            </w:pPr>
            <w:r w:rsidRPr="00947D59">
              <w:rPr>
                <w:rFonts w:cstheme="minorHAnsi"/>
              </w:rPr>
              <w:t>EMRA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rPr>
            </w:pPr>
            <w:r w:rsidRPr="00947D59">
              <w:rPr>
                <w:rFonts w:cstheme="minorHAnsi"/>
              </w:rPr>
              <w:t>Basic Occupational Health and Safety training / Presentation and use of the new version of Electronic Document Management System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All EMRA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rPr>
                <w:rFonts w:cstheme="minorHAnsi"/>
              </w:rPr>
            </w:pPr>
          </w:p>
          <w:p w:rsidR="00FE7FEB" w:rsidRPr="00947D59" w:rsidRDefault="00FE7FEB" w:rsidP="00D816E6">
            <w:pPr>
              <w:rPr>
                <w:rFonts w:cstheme="minorHAnsi"/>
              </w:rPr>
            </w:pPr>
            <w:r w:rsidRPr="00947D59">
              <w:rPr>
                <w:rFonts w:cstheme="minorHAnsi"/>
              </w:rPr>
              <w:t>EMRA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Information Security Awareness Trainings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All EMRA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Istanbul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IDC Energy Summit 2018  / IDC Energy Meeting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1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Demir Bükey Academy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Advanced Driving Techniques Safe Driving Training Programs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15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Sunkar Counselling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Corporate Culture and Protocol Management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235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Sunkar Counselling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Ms Office Beginner and Intermediate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52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rPr>
            </w:pPr>
            <w:r w:rsidRPr="00947D59">
              <w:rPr>
                <w:rFonts w:cstheme="minorHAnsi"/>
              </w:rPr>
              <w:t>Gazi University Continuing Education Application and Research Center Directorate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bCs/>
                <w:iCs/>
              </w:rPr>
            </w:pPr>
            <w:r w:rsidRPr="00947D59">
              <w:rPr>
                <w:rFonts w:cstheme="minorHAnsi"/>
                <w:bCs/>
                <w:iCs/>
              </w:rPr>
              <w:t>Basic Accounting Training / Financial Statement Analysis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23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autoSpaceDE w:val="0"/>
              <w:autoSpaceDN w:val="0"/>
              <w:adjustRightInd w:val="0"/>
              <w:rPr>
                <w:rFonts w:cstheme="minorHAnsi"/>
              </w:rPr>
            </w:pPr>
          </w:p>
          <w:p w:rsidR="00FE7FEB" w:rsidRPr="00947D59" w:rsidRDefault="00FE7FEB" w:rsidP="00D816E6">
            <w:pPr>
              <w:autoSpaceDE w:val="0"/>
              <w:autoSpaceDN w:val="0"/>
              <w:adjustRightInd w:val="0"/>
              <w:rPr>
                <w:rFonts w:cstheme="minorHAnsi"/>
              </w:rPr>
            </w:pPr>
            <w:r w:rsidRPr="00947D59">
              <w:rPr>
                <w:rFonts w:cstheme="minorHAnsi"/>
              </w:rPr>
              <w:t>KamuTech Software Training Consultancy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bCs/>
              </w:rPr>
            </w:pPr>
            <w:r w:rsidRPr="00947D59">
              <w:rPr>
                <w:rFonts w:cstheme="minorHAnsi"/>
                <w:bCs/>
              </w:rPr>
              <w:t>Seminar on Labor Law and Social Security Practices of Subcontracted Workers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3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rPr>
            </w:pPr>
            <w:r w:rsidRPr="00947D59">
              <w:rPr>
                <w:rFonts w:cstheme="minorHAnsi"/>
              </w:rPr>
              <w:t xml:space="preserve">Turkey Industry Referral Management Institute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bCs/>
              </w:rPr>
            </w:pPr>
            <w:r w:rsidRPr="00947D59">
              <w:rPr>
                <w:rFonts w:cstheme="minorHAnsi"/>
              </w:rPr>
              <w:t>Corporate Development Training and Core Competency Development Training 2018</w:t>
            </w:r>
          </w:p>
          <w:p w:rsidR="00FE7FEB" w:rsidRPr="00947D59" w:rsidRDefault="00FE7FEB" w:rsidP="00D816E6">
            <w:pPr>
              <w:autoSpaceDE w:val="0"/>
              <w:autoSpaceDN w:val="0"/>
              <w:adjustRightInd w:val="0"/>
              <w:rPr>
                <w:rFonts w:cstheme="minorHAnsi"/>
                <w:bC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66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rPr>
            </w:pPr>
            <w:r w:rsidRPr="00947D59">
              <w:rPr>
                <w:rFonts w:cstheme="minorHAnsi"/>
              </w:rPr>
              <w:t>Public and Private Sector Organizations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bCs/>
              </w:rPr>
            </w:pPr>
            <w:r w:rsidRPr="00947D59">
              <w:rPr>
                <w:rFonts w:cstheme="minorHAnsi"/>
                <w:bCs/>
              </w:rPr>
              <w:t>Energy Facilities Inspection Program- Technical Inspection Program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30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rPr>
                <w:rFonts w:cstheme="minorHAnsi"/>
              </w:rPr>
            </w:pPr>
            <w:r w:rsidRPr="00947D59">
              <w:rPr>
                <w:rFonts w:cstheme="minorHAnsi"/>
              </w:rPr>
              <w:t>Sineset Film</w:t>
            </w:r>
          </w:p>
          <w:p w:rsidR="00FE7FEB" w:rsidRPr="00947D59" w:rsidRDefault="00FE7FEB" w:rsidP="00D816E6">
            <w:pPr>
              <w:rPr>
                <w:rFonts w:cstheme="minorHAnsi"/>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rPr>
                <w:rFonts w:cstheme="minorHAnsi"/>
              </w:rPr>
            </w:pPr>
            <w:r w:rsidRPr="00947D59">
              <w:rPr>
                <w:rFonts w:cstheme="minorHAnsi"/>
              </w:rPr>
              <w:t>Online Training</w:t>
            </w:r>
          </w:p>
          <w:p w:rsidR="00FE7FEB" w:rsidRPr="00947D59" w:rsidRDefault="00FE7FEB" w:rsidP="00D816E6">
            <w:pPr>
              <w:rPr>
                <w:rFonts w:cstheme="minorHAnsi"/>
              </w:rPr>
            </w:pPr>
          </w:p>
          <w:p w:rsidR="00FE7FEB" w:rsidRPr="00947D59" w:rsidRDefault="00FE7FEB" w:rsidP="00D816E6">
            <w:pPr>
              <w:rPr>
                <w:rFonts w:cstheme="minorHAnsi"/>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14</w:t>
            </w:r>
            <w:r w:rsidRPr="00947D59">
              <w:rPr>
                <w:rFonts w:cstheme="minorHAnsi"/>
                <w:vertAlign w:val="superscript"/>
              </w:rPr>
              <w:t>th</w:t>
            </w:r>
            <w:r w:rsidRPr="00947D59">
              <w:rPr>
                <w:rFonts w:cstheme="minorHAnsi"/>
              </w:rPr>
              <w:t xml:space="preserve"> Term Energy Assistant Specialist 30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rPr>
                <w:rFonts w:cstheme="minorHAnsi"/>
              </w:rPr>
            </w:pPr>
            <w:r w:rsidRPr="00947D59">
              <w:rPr>
                <w:rFonts w:cstheme="minorHAnsi"/>
              </w:rPr>
              <w:t>EMRA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Preparatory Training Program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13</w:t>
            </w:r>
            <w:r w:rsidRPr="00947D59">
              <w:rPr>
                <w:rFonts w:cstheme="minorHAnsi"/>
                <w:vertAlign w:val="superscript"/>
              </w:rPr>
              <w:t>th</w:t>
            </w:r>
            <w:r w:rsidRPr="00947D59">
              <w:rPr>
                <w:rFonts w:cstheme="minorHAnsi"/>
              </w:rPr>
              <w:t xml:space="preserve"> Term Energy Assistant Specialist 16 Staff </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rPr>
                <w:rFonts w:cstheme="minorHAnsi"/>
              </w:rPr>
            </w:pPr>
            <w:r w:rsidRPr="00947D59">
              <w:rPr>
                <w:rFonts w:cstheme="minorHAnsi"/>
              </w:rPr>
              <w:t>EMRA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Preparatory Training Program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14</w:t>
            </w:r>
            <w:r w:rsidRPr="00947D59">
              <w:rPr>
                <w:rFonts w:cstheme="minorHAnsi"/>
                <w:vertAlign w:val="superscript"/>
              </w:rPr>
              <w:t>th</w:t>
            </w:r>
            <w:r w:rsidRPr="00947D59">
              <w:rPr>
                <w:rFonts w:cstheme="minorHAnsi"/>
              </w:rPr>
              <w:t xml:space="preserve"> Term Energy Assistant Specialist 30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rPr>
            </w:pPr>
            <w:r w:rsidRPr="00947D59">
              <w:rPr>
                <w:rFonts w:cstheme="minorHAnsi"/>
              </w:rPr>
              <w:t>Sunkar Counselling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autoSpaceDE w:val="0"/>
              <w:autoSpaceDN w:val="0"/>
              <w:adjustRightInd w:val="0"/>
              <w:rPr>
                <w:rFonts w:cstheme="minorHAnsi"/>
              </w:rPr>
            </w:pPr>
            <w:r w:rsidRPr="00947D59">
              <w:rPr>
                <w:rFonts w:cstheme="minorHAnsi"/>
              </w:rPr>
              <w:t>Scientific Research and Thesis Writing Program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26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p>
          <w:p w:rsidR="00FE7FEB" w:rsidRPr="00947D59" w:rsidRDefault="00FE7FEB" w:rsidP="00D816E6">
            <w:pPr>
              <w:rPr>
                <w:rFonts w:cstheme="minorHAnsi"/>
              </w:rPr>
            </w:pPr>
            <w:r w:rsidRPr="00947D59">
              <w:rPr>
                <w:rFonts w:cstheme="minorHAnsi"/>
              </w:rPr>
              <w:t>Sunkar Counselling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rPr>
                <w:rFonts w:cstheme="minorHAnsi"/>
                <w:bCs/>
              </w:rPr>
            </w:pPr>
          </w:p>
          <w:p w:rsidR="00FE7FEB" w:rsidRPr="00947D59" w:rsidRDefault="00FE7FEB" w:rsidP="00D816E6">
            <w:pPr>
              <w:rPr>
                <w:rFonts w:cstheme="minorHAnsi"/>
              </w:rPr>
            </w:pPr>
            <w:r w:rsidRPr="00947D59">
              <w:rPr>
                <w:rFonts w:cstheme="minorHAnsi"/>
              </w:rPr>
              <w:t>Technology for Research</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right"/>
              <w:rPr>
                <w:rFonts w:cstheme="minorHAnsi"/>
              </w:rPr>
            </w:pPr>
            <w:r w:rsidRPr="00947D59">
              <w:rPr>
                <w:rFonts w:cstheme="minorHAnsi"/>
              </w:rPr>
              <w:t>26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Kamutech Software Training Consultancy Industry and Trade Joint Stock Company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Labor Law, Social Security and Collective Bargaining Practices Training for Public Institutions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right"/>
              <w:rPr>
                <w:rFonts w:cstheme="minorHAnsi"/>
              </w:rPr>
            </w:pPr>
            <w:r w:rsidRPr="00947D59">
              <w:rPr>
                <w:rFonts w:cstheme="minorHAnsi"/>
              </w:rPr>
              <w:t>2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ELDER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i/>
                <w:iCs/>
              </w:rPr>
            </w:pPr>
            <w:r w:rsidRPr="00947D59">
              <w:rPr>
                <w:rFonts w:cstheme="minorHAnsi"/>
                <w:i/>
                <w:iCs/>
              </w:rPr>
              <w:t>Regulation, Trade and Competition in Electricity Market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right"/>
              <w:rPr>
                <w:rFonts w:cstheme="minorHAnsi"/>
              </w:rPr>
            </w:pPr>
            <w:r w:rsidRPr="00947D59">
              <w:rPr>
                <w:rFonts w:cstheme="minorHAnsi"/>
              </w:rPr>
              <w:t>2 Corportae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 xml:space="preserve">TODAİE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Upgrade Exam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right"/>
              <w:rPr>
                <w:rFonts w:cstheme="minorHAnsi"/>
              </w:rPr>
            </w:pPr>
            <w:r w:rsidRPr="00947D59">
              <w:rPr>
                <w:rFonts w:cstheme="minorHAnsi"/>
              </w:rPr>
              <w:t>50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Ministry of Energy and Natural Resources / Public Procurement Authority Experts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Training for E-Auction and E-Deletion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right"/>
              <w:rPr>
                <w:rFonts w:cstheme="minorHAnsi"/>
              </w:rPr>
            </w:pPr>
            <w:r w:rsidRPr="00947D59">
              <w:rPr>
                <w:rFonts w:cstheme="minorHAnsi"/>
              </w:rPr>
              <w:t>5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Energy Experts Association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autoSpaceDE w:val="0"/>
              <w:autoSpaceDN w:val="0"/>
              <w:adjustRightInd w:val="0"/>
              <w:rPr>
                <w:rFonts w:cstheme="minorHAnsi"/>
              </w:rPr>
            </w:pPr>
            <w:r w:rsidRPr="00947D59">
              <w:rPr>
                <w:rFonts w:cstheme="minorHAnsi"/>
              </w:rPr>
              <w:t>Electricity Market Distribution and Consumer Services Training and Natural Gas Market Consumer Services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right"/>
              <w:rPr>
                <w:rFonts w:cstheme="minorHAnsi"/>
              </w:rPr>
            </w:pPr>
            <w:r w:rsidRPr="00947D59">
              <w:rPr>
                <w:rFonts w:cstheme="minorHAnsi"/>
              </w:rPr>
              <w:t>15 Corporate Staff</w:t>
            </w:r>
          </w:p>
        </w:tc>
      </w:tr>
      <w:tr w:rsidR="00FE7FEB" w:rsidRPr="00947D59" w:rsidTr="00D816E6">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rPr>
            </w:pPr>
            <w:r w:rsidRPr="00947D59">
              <w:rPr>
                <w:rFonts w:cstheme="minorHAnsi"/>
              </w:rPr>
              <w:t>Private Vektörel Informatics Computer and Vocational Training Center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autoSpaceDE w:val="0"/>
              <w:autoSpaceDN w:val="0"/>
              <w:adjustRightInd w:val="0"/>
              <w:rPr>
                <w:rFonts w:cstheme="minorHAnsi"/>
              </w:rPr>
            </w:pPr>
            <w:r w:rsidRPr="00947D59">
              <w:rPr>
                <w:rFonts w:cstheme="minorHAnsi"/>
              </w:rPr>
              <w:t>3d max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right"/>
              <w:rPr>
                <w:rFonts w:cstheme="minorHAnsi"/>
              </w:rPr>
            </w:pPr>
            <w:r w:rsidRPr="00947D59">
              <w:rPr>
                <w:rFonts w:cstheme="minorHAnsi"/>
              </w:rPr>
              <w:t>1 Corporate Staff</w:t>
            </w:r>
          </w:p>
        </w:tc>
      </w:tr>
    </w:tbl>
    <w:p w:rsidR="00FE7FEB" w:rsidRPr="00947D59" w:rsidRDefault="00FE7FEB" w:rsidP="00FE7FEB">
      <w:pPr>
        <w:rPr>
          <w:rFonts w:cstheme="minorHAnsi"/>
        </w:rPr>
      </w:pPr>
    </w:p>
    <w:p w:rsidR="00FE7FEB" w:rsidRPr="00947D59" w:rsidRDefault="00FE7FEB" w:rsidP="00691CB6">
      <w:pPr>
        <w:pStyle w:val="Balk3"/>
      </w:pPr>
      <w:bookmarkStart w:id="390" w:name="_Toc12956392"/>
      <w:r w:rsidRPr="00947D59">
        <w:t>13.2.2. Other Training Activities</w:t>
      </w:r>
      <w:bookmarkEnd w:id="390"/>
      <w:r w:rsidRPr="00947D59">
        <w:t xml:space="preserve"> </w:t>
      </w:r>
    </w:p>
    <w:p w:rsidR="00FE7FEB" w:rsidRPr="00947D59" w:rsidRDefault="00FE7FEB" w:rsidP="00207061">
      <w:pPr>
        <w:jc w:val="both"/>
        <w:rPr>
          <w:lang w:val="en-GB"/>
        </w:rPr>
      </w:pPr>
      <w:r w:rsidRPr="00947D59">
        <w:rPr>
          <w:lang w:val="en-GB"/>
        </w:rPr>
        <w:t>Each year, the Institution sends a certain number of staff to the short-term trainings aimed at increasing knowledge and etiquette and long-term trainings to carry out masters studies, taking into consideration the year of service and foreign language criteria in the framework of the relevant legislation. Furthermore, in order to ensure that developments in the world energy market can be monitored more closely, Authority’s personnel are encouraged to participate in trainings aimed at raising the level of foreign language knowledge. Information on the work done in this context is given in the tables below.</w:t>
      </w:r>
    </w:p>
    <w:p w:rsidR="00FE7FEB" w:rsidRPr="00947D59" w:rsidRDefault="00FE7FEB" w:rsidP="00FE7FEB">
      <w:pPr>
        <w:rPr>
          <w:rFonts w:cstheme="minorHAnsi"/>
        </w:rPr>
      </w:pPr>
    </w:p>
    <w:p w:rsidR="00FE7FEB" w:rsidRPr="00216EDE" w:rsidRDefault="00FE7FEB" w:rsidP="00216EDE">
      <w:pPr>
        <w:pStyle w:val="Balk5"/>
      </w:pPr>
      <w:bookmarkStart w:id="391" w:name="_Toc12958547"/>
      <w:r w:rsidRPr="00216EDE">
        <w:t>Table 13.6: Oversees Trainings in 2018</w:t>
      </w:r>
      <w:bookmarkEnd w:id="39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889"/>
        <w:gridCol w:w="4427"/>
        <w:gridCol w:w="1306"/>
      </w:tblGrid>
      <w:tr w:rsidR="00FE7FEB" w:rsidRPr="00947D59" w:rsidTr="00D816E6">
        <w:trPr>
          <w:trHeight w:val="397"/>
          <w:tblHeader/>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47D59" w:rsidRDefault="00FE7FEB" w:rsidP="00D816E6">
            <w:pPr>
              <w:jc w:val="center"/>
              <w:rPr>
                <w:rFonts w:cstheme="minorHAnsi"/>
                <w:b/>
                <w:color w:val="FFFFFF" w:themeColor="background1"/>
              </w:rPr>
            </w:pPr>
            <w:r w:rsidRPr="00947D59">
              <w:rPr>
                <w:rFonts w:cstheme="minorHAnsi"/>
                <w:b/>
                <w:color w:val="FFFFFF" w:themeColor="background1"/>
              </w:rPr>
              <w:t>Category of the Training</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47D59" w:rsidRDefault="00FE7FEB" w:rsidP="00D816E6">
            <w:pPr>
              <w:jc w:val="center"/>
              <w:rPr>
                <w:rFonts w:cstheme="minorHAnsi"/>
                <w:b/>
                <w:color w:val="FFFFFF" w:themeColor="background1"/>
              </w:rPr>
            </w:pPr>
            <w:r w:rsidRPr="00947D59">
              <w:rPr>
                <w:rFonts w:cstheme="minorHAnsi"/>
                <w:b/>
                <w:color w:val="FFFFFF" w:themeColor="background1"/>
              </w:rPr>
              <w:t>Name of the Training</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47D59" w:rsidRDefault="00FE7FEB" w:rsidP="00D816E6">
            <w:pPr>
              <w:jc w:val="center"/>
              <w:rPr>
                <w:rFonts w:cstheme="minorHAnsi"/>
                <w:b/>
                <w:color w:val="FFFFFF" w:themeColor="background1"/>
              </w:rPr>
            </w:pPr>
            <w:r w:rsidRPr="00947D59">
              <w:rPr>
                <w:rFonts w:cstheme="minorHAnsi"/>
                <w:b/>
                <w:color w:val="FFFFFF" w:themeColor="background1"/>
              </w:rPr>
              <w:t>No of Participants</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ERRA</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Introduction to Energy Regulation</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10</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ERRA</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Principles of Energy Market</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4</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ERRA</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Fundamentals of Energy Markets</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3</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ERRA</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Energy Capital Investment Programs Review and Evaluation Tools</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3</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ERRA</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Renewable Energy Regulation</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7</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ERRA</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Basic Principles of Natural Gas Market Regulation</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1</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ERRA and MEDREG</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Electricity Market Monitoring</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1</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Baku Energy Summer School</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947D59" w:rsidRDefault="00FE7FEB" w:rsidP="00D816E6">
            <w:pPr>
              <w:rPr>
                <w:rFonts w:cstheme="minorHAnsi"/>
              </w:rPr>
            </w:pPr>
            <w:r w:rsidRPr="00947D59">
              <w:rPr>
                <w:rFonts w:cstheme="minorHAnsi"/>
              </w:rPr>
              <w:t>ADA University Caspin Center for Energy and Environment</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3</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Overseas Master Training of Corporate Staff within the Quota of the Council of Ministers</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FE7FEB" w:rsidRPr="00947D59" w:rsidRDefault="00FE7FEB" w:rsidP="00D816E6">
            <w:pPr>
              <w:rPr>
                <w:rFonts w:cstheme="minorHAnsi"/>
              </w:rPr>
            </w:pPr>
          </w:p>
          <w:p w:rsidR="00FE7FEB" w:rsidRPr="00947D59" w:rsidRDefault="00FE7FEB" w:rsidP="00D816E6">
            <w:pPr>
              <w:rPr>
                <w:rFonts w:cstheme="minorHAnsi"/>
              </w:rPr>
            </w:pPr>
            <w:r w:rsidRPr="00947D59">
              <w:rPr>
                <w:rFonts w:cstheme="minorHAnsi"/>
              </w:rPr>
              <w:t>Master in Abroad</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3</w:t>
            </w:r>
          </w:p>
        </w:tc>
      </w:tr>
      <w:tr w:rsidR="00FE7FEB" w:rsidRPr="00947D59" w:rsidTr="00D816E6">
        <w:trPr>
          <w:trHeight w:val="397"/>
        </w:trPr>
        <w:tc>
          <w:tcPr>
            <w:tcW w:w="20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Oversees internship of Assistant Energy Experts (0-3 months) University of Dundee</w:t>
            </w:r>
          </w:p>
        </w:tc>
        <w:tc>
          <w:tcPr>
            <w:tcW w:w="233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rPr>
                <w:rFonts w:cstheme="minorHAnsi"/>
              </w:rPr>
            </w:pPr>
            <w:r w:rsidRPr="00947D59">
              <w:rPr>
                <w:rFonts w:cstheme="minorHAnsi"/>
              </w:rPr>
              <w:t>Oversees intershp training program</w:t>
            </w:r>
          </w:p>
          <w:p w:rsidR="00FE7FEB" w:rsidRPr="00947D59" w:rsidRDefault="00FE7FEB" w:rsidP="00D816E6">
            <w:pPr>
              <w:rPr>
                <w:rFonts w:cstheme="minorHAnsi"/>
              </w:rPr>
            </w:pPr>
            <w:r w:rsidRPr="00947D59">
              <w:rPr>
                <w:rFonts w:cstheme="minorHAnsi"/>
              </w:rPr>
              <w:t>(Between 2017-2018)</w:t>
            </w:r>
          </w:p>
        </w:tc>
        <w:tc>
          <w:tcPr>
            <w:tcW w:w="60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947D59" w:rsidRDefault="00FE7FEB" w:rsidP="00D816E6">
            <w:pPr>
              <w:jc w:val="center"/>
              <w:rPr>
                <w:rFonts w:cstheme="minorHAnsi"/>
              </w:rPr>
            </w:pPr>
            <w:r w:rsidRPr="00947D59">
              <w:rPr>
                <w:rFonts w:cstheme="minorHAnsi"/>
              </w:rPr>
              <w:t>16</w:t>
            </w:r>
          </w:p>
        </w:tc>
      </w:tr>
    </w:tbl>
    <w:p w:rsidR="00FE7FEB" w:rsidRPr="00947D59" w:rsidRDefault="00FE7FEB" w:rsidP="00FE7FEB">
      <w:pPr>
        <w:rPr>
          <w:rFonts w:cstheme="minorHAnsi"/>
        </w:rPr>
      </w:pPr>
    </w:p>
    <w:p w:rsidR="00FE7FEB" w:rsidRPr="00216EDE" w:rsidRDefault="00FE7FEB" w:rsidP="00216EDE">
      <w:pPr>
        <w:pStyle w:val="Balk5"/>
      </w:pPr>
      <w:bookmarkStart w:id="392" w:name="_Toc12958548"/>
      <w:r w:rsidRPr="00216EDE">
        <w:t>Table 13.7: Foreign Language Trainings in 2017</w:t>
      </w:r>
      <w:bookmarkEnd w:id="39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40"/>
        <w:gridCol w:w="2255"/>
        <w:gridCol w:w="3327"/>
      </w:tblGrid>
      <w:tr w:rsidR="00FE7FEB" w:rsidRPr="00947D59" w:rsidTr="00D816E6">
        <w:trPr>
          <w:trHeight w:val="227"/>
          <w:tblHeader/>
        </w:trPr>
        <w:tc>
          <w:tcPr>
            <w:tcW w:w="20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hideMark/>
          </w:tcPr>
          <w:p w:rsidR="00FE7FEB" w:rsidRPr="00947D59" w:rsidRDefault="00FE7FEB" w:rsidP="00D816E6">
            <w:pPr>
              <w:jc w:val="center"/>
              <w:rPr>
                <w:rFonts w:cstheme="minorHAnsi"/>
                <w:bCs/>
                <w:color w:val="FFFFFF" w:themeColor="background1"/>
              </w:rPr>
            </w:pPr>
            <w:r w:rsidRPr="00947D59">
              <w:rPr>
                <w:rFonts w:cstheme="minorHAnsi"/>
                <w:bCs/>
                <w:color w:val="FFFFFF" w:themeColor="background1"/>
              </w:rPr>
              <w:t>Eğitim Veren Kurum Veya Kuruluş</w:t>
            </w:r>
          </w:p>
        </w:tc>
        <w:tc>
          <w:tcPr>
            <w:tcW w:w="11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hideMark/>
          </w:tcPr>
          <w:p w:rsidR="00FE7FEB" w:rsidRPr="00947D59" w:rsidRDefault="00FE7FEB" w:rsidP="00D816E6">
            <w:pPr>
              <w:jc w:val="center"/>
              <w:rPr>
                <w:rFonts w:cstheme="minorHAnsi"/>
                <w:bCs/>
                <w:color w:val="FFFFFF" w:themeColor="background1"/>
              </w:rPr>
            </w:pPr>
            <w:r w:rsidRPr="00947D59">
              <w:rPr>
                <w:rFonts w:cstheme="minorHAnsi"/>
                <w:bCs/>
                <w:color w:val="FFFFFF" w:themeColor="background1"/>
              </w:rPr>
              <w:t>Eğitimin Adı</w:t>
            </w:r>
          </w:p>
        </w:tc>
        <w:tc>
          <w:tcPr>
            <w:tcW w:w="17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hideMark/>
          </w:tcPr>
          <w:p w:rsidR="00FE7FEB" w:rsidRPr="00947D59" w:rsidRDefault="00FE7FEB" w:rsidP="00D816E6">
            <w:pPr>
              <w:jc w:val="center"/>
              <w:rPr>
                <w:rFonts w:cstheme="minorHAnsi"/>
                <w:bCs/>
                <w:color w:val="FFFFFF" w:themeColor="background1"/>
              </w:rPr>
            </w:pPr>
            <w:r w:rsidRPr="00947D59">
              <w:rPr>
                <w:rFonts w:cstheme="minorHAnsi"/>
                <w:bCs/>
                <w:color w:val="FFFFFF" w:themeColor="background1"/>
              </w:rPr>
              <w:t>Katılan Kişi Sayısı</w:t>
            </w:r>
          </w:p>
        </w:tc>
      </w:tr>
      <w:tr w:rsidR="00FE7FEB" w:rsidRPr="00947D59" w:rsidTr="00D816E6">
        <w:trPr>
          <w:trHeight w:val="592"/>
        </w:trPr>
        <w:tc>
          <w:tcPr>
            <w:tcW w:w="20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both"/>
              <w:rPr>
                <w:rFonts w:cstheme="minorHAnsi"/>
                <w:bCs/>
              </w:rPr>
            </w:pPr>
            <w:r w:rsidRPr="00947D59">
              <w:rPr>
                <w:rFonts w:cstheme="minorHAnsi"/>
                <w:bCs/>
              </w:rPr>
              <w:t>Private Ümitköy American Culture Foreign Language Course (Premium)</w:t>
            </w:r>
          </w:p>
          <w:p w:rsidR="00FE7FEB" w:rsidRPr="00947D59" w:rsidRDefault="00FE7FEB" w:rsidP="00D816E6">
            <w:pPr>
              <w:jc w:val="both"/>
              <w:rPr>
                <w:rFonts w:cstheme="minorHAnsi"/>
                <w:bCs/>
              </w:rPr>
            </w:pPr>
          </w:p>
        </w:tc>
        <w:tc>
          <w:tcPr>
            <w:tcW w:w="11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bCs/>
              </w:rPr>
            </w:pPr>
            <w:r w:rsidRPr="00947D59">
              <w:rPr>
                <w:rFonts w:cstheme="minorHAnsi"/>
              </w:rPr>
              <w:t>English Language Training</w:t>
            </w:r>
          </w:p>
        </w:tc>
        <w:tc>
          <w:tcPr>
            <w:tcW w:w="17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bCs/>
              </w:rPr>
            </w:pPr>
            <w:r w:rsidRPr="00947D59">
              <w:rPr>
                <w:rFonts w:cstheme="minorHAnsi"/>
                <w:bCs/>
              </w:rPr>
              <w:t>1</w:t>
            </w:r>
          </w:p>
        </w:tc>
      </w:tr>
      <w:tr w:rsidR="00FE7FEB" w:rsidRPr="00947D59" w:rsidTr="00D816E6">
        <w:trPr>
          <w:trHeight w:val="227"/>
        </w:trPr>
        <w:tc>
          <w:tcPr>
            <w:tcW w:w="20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both"/>
              <w:rPr>
                <w:rFonts w:cstheme="minorHAnsi"/>
              </w:rPr>
            </w:pPr>
            <w:r w:rsidRPr="00947D59">
              <w:rPr>
                <w:rFonts w:cstheme="minorHAnsi"/>
              </w:rPr>
              <w:t>American Examination Center</w:t>
            </w:r>
          </w:p>
        </w:tc>
        <w:tc>
          <w:tcPr>
            <w:tcW w:w="11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English Language Training</w:t>
            </w:r>
          </w:p>
        </w:tc>
        <w:tc>
          <w:tcPr>
            <w:tcW w:w="17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4</w:t>
            </w:r>
          </w:p>
        </w:tc>
      </w:tr>
      <w:tr w:rsidR="00FE7FEB" w:rsidRPr="00947D59" w:rsidTr="00D816E6">
        <w:trPr>
          <w:trHeight w:val="227"/>
        </w:trPr>
        <w:tc>
          <w:tcPr>
            <w:tcW w:w="20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both"/>
              <w:rPr>
                <w:rFonts w:cstheme="minorHAnsi"/>
              </w:rPr>
            </w:pPr>
            <w:r w:rsidRPr="00947D59">
              <w:rPr>
                <w:rFonts w:cstheme="minorHAnsi"/>
              </w:rPr>
              <w:t>Private Bahçelievler American Cultural Association Foreign Language Course</w:t>
            </w:r>
          </w:p>
        </w:tc>
        <w:tc>
          <w:tcPr>
            <w:tcW w:w="11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English Language Training</w:t>
            </w:r>
          </w:p>
        </w:tc>
        <w:tc>
          <w:tcPr>
            <w:tcW w:w="17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1</w:t>
            </w:r>
          </w:p>
        </w:tc>
      </w:tr>
      <w:tr w:rsidR="00FE7FEB" w:rsidRPr="00947D59" w:rsidTr="00D816E6">
        <w:trPr>
          <w:trHeight w:val="227"/>
        </w:trPr>
        <w:tc>
          <w:tcPr>
            <w:tcW w:w="20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FE7FEB" w:rsidRPr="00947D59" w:rsidRDefault="00FE7FEB" w:rsidP="00D816E6">
            <w:pPr>
              <w:jc w:val="both"/>
              <w:rPr>
                <w:rFonts w:cstheme="minorHAnsi"/>
              </w:rPr>
            </w:pPr>
            <w:r w:rsidRPr="00947D59">
              <w:rPr>
                <w:rFonts w:cstheme="minorHAnsi"/>
              </w:rPr>
              <w:t>Moda Language Academy Çankaya/ANKARA</w:t>
            </w:r>
          </w:p>
        </w:tc>
        <w:tc>
          <w:tcPr>
            <w:tcW w:w="11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English Language Training</w:t>
            </w:r>
          </w:p>
        </w:tc>
        <w:tc>
          <w:tcPr>
            <w:tcW w:w="17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1</w:t>
            </w:r>
          </w:p>
        </w:tc>
      </w:tr>
      <w:tr w:rsidR="00FE7FEB" w:rsidRPr="00947D59" w:rsidTr="00D816E6">
        <w:trPr>
          <w:trHeight w:val="227"/>
        </w:trPr>
        <w:tc>
          <w:tcPr>
            <w:tcW w:w="20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both"/>
              <w:rPr>
                <w:rFonts w:cstheme="minorHAnsi"/>
              </w:rPr>
            </w:pPr>
            <w:r w:rsidRPr="00947D59">
              <w:rPr>
                <w:rFonts w:cstheme="minorHAnsi"/>
              </w:rPr>
              <w:t>Private Suat Gürcan-Rıdvan Gürbüz Moda Language Academy Foreign Language Course</w:t>
            </w:r>
          </w:p>
        </w:tc>
        <w:tc>
          <w:tcPr>
            <w:tcW w:w="11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English Language Training</w:t>
            </w:r>
          </w:p>
        </w:tc>
        <w:tc>
          <w:tcPr>
            <w:tcW w:w="17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1</w:t>
            </w:r>
          </w:p>
        </w:tc>
      </w:tr>
      <w:tr w:rsidR="00FE7FEB" w:rsidRPr="00947D59" w:rsidTr="00D816E6">
        <w:trPr>
          <w:trHeight w:val="227"/>
        </w:trPr>
        <w:tc>
          <w:tcPr>
            <w:tcW w:w="20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both"/>
              <w:rPr>
                <w:rFonts w:cstheme="minorHAnsi"/>
              </w:rPr>
            </w:pPr>
            <w:r w:rsidRPr="00947D59">
              <w:rPr>
                <w:rFonts w:cstheme="minorHAnsi"/>
              </w:rPr>
              <w:t>English Exam  Center Foreign Language Course</w:t>
            </w:r>
          </w:p>
        </w:tc>
        <w:tc>
          <w:tcPr>
            <w:tcW w:w="11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English Language Training</w:t>
            </w:r>
          </w:p>
        </w:tc>
        <w:tc>
          <w:tcPr>
            <w:tcW w:w="17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1</w:t>
            </w:r>
          </w:p>
        </w:tc>
      </w:tr>
      <w:tr w:rsidR="00FE7FEB" w:rsidRPr="00947D59" w:rsidTr="00D816E6">
        <w:trPr>
          <w:trHeight w:val="70"/>
        </w:trPr>
        <w:tc>
          <w:tcPr>
            <w:tcW w:w="20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both"/>
              <w:rPr>
                <w:rFonts w:cstheme="minorHAnsi"/>
              </w:rPr>
            </w:pPr>
            <w:r w:rsidRPr="00947D59">
              <w:rPr>
                <w:rFonts w:cstheme="minorHAnsi"/>
              </w:rPr>
              <w:t xml:space="preserve">Private Akın Foreign Language Course </w:t>
            </w:r>
          </w:p>
        </w:tc>
        <w:tc>
          <w:tcPr>
            <w:tcW w:w="11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English Language Training</w:t>
            </w:r>
          </w:p>
        </w:tc>
        <w:tc>
          <w:tcPr>
            <w:tcW w:w="17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jc w:val="center"/>
              <w:rPr>
                <w:rFonts w:cstheme="minorHAnsi"/>
              </w:rPr>
            </w:pPr>
            <w:r w:rsidRPr="00947D59">
              <w:rPr>
                <w:rFonts w:cstheme="minorHAnsi"/>
              </w:rPr>
              <w:t>8</w:t>
            </w:r>
          </w:p>
        </w:tc>
      </w:tr>
    </w:tbl>
    <w:p w:rsidR="00FE7FEB" w:rsidRPr="00947D59" w:rsidRDefault="00FE7FEB" w:rsidP="00FE7FEB">
      <w:pPr>
        <w:rPr>
          <w:rFonts w:cstheme="minorHAnsi"/>
        </w:rPr>
      </w:pPr>
    </w:p>
    <w:p w:rsidR="00FE7FEB" w:rsidRPr="00947D59" w:rsidRDefault="00FE7FEB" w:rsidP="00FE7FEB">
      <w:pPr>
        <w:rPr>
          <w:rFonts w:cstheme="minorHAnsi"/>
        </w:rPr>
      </w:pPr>
      <w:r w:rsidRPr="00947D59">
        <w:rPr>
          <w:rFonts w:cstheme="minorHAnsi"/>
        </w:rPr>
        <w:t>Undergraduates from different universities do internship in the authortity. In this context, the number of internship in 2018 and the periods of internship are given in the table below.</w:t>
      </w:r>
    </w:p>
    <w:p w:rsidR="00FE7FEB" w:rsidRPr="00216EDE" w:rsidRDefault="00FE7FEB" w:rsidP="00216EDE">
      <w:pPr>
        <w:pStyle w:val="Balk5"/>
      </w:pPr>
      <w:bookmarkStart w:id="393" w:name="_Toc12958549"/>
      <w:r w:rsidRPr="00216EDE">
        <w:t>Table 13.8: Information on the Interns in 2018</w:t>
      </w:r>
      <w:bookmarkEnd w:id="393"/>
    </w:p>
    <w:tbl>
      <w:tblPr>
        <w:tblW w:w="3616" w:type="pct"/>
        <w:tblInd w:w="132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4"/>
        <w:gridCol w:w="2078"/>
        <w:gridCol w:w="2167"/>
      </w:tblGrid>
      <w:tr w:rsidR="00FE7FEB" w:rsidRPr="00947D59" w:rsidTr="00216EDE">
        <w:trPr>
          <w:trHeight w:val="238"/>
          <w:tblHeader/>
        </w:trPr>
        <w:tc>
          <w:tcPr>
            <w:tcW w:w="1950"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474FC9">
            <w:pPr>
              <w:jc w:val="center"/>
              <w:rPr>
                <w:rFonts w:cstheme="minorHAnsi"/>
                <w:b/>
                <w:color w:val="FFFFFF" w:themeColor="background1"/>
              </w:rPr>
            </w:pPr>
            <w:r w:rsidRPr="00947D59">
              <w:rPr>
                <w:rFonts w:cstheme="minorHAnsi"/>
                <w:b/>
                <w:color w:val="FFFFFF" w:themeColor="background1"/>
              </w:rPr>
              <w:t>Name of the University</w:t>
            </w:r>
          </w:p>
        </w:tc>
        <w:tc>
          <w:tcPr>
            <w:tcW w:w="305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hideMark/>
          </w:tcPr>
          <w:p w:rsidR="00FE7FEB" w:rsidRPr="00947D59" w:rsidRDefault="00FE7FEB" w:rsidP="00474FC9">
            <w:pPr>
              <w:jc w:val="center"/>
              <w:rPr>
                <w:rFonts w:cstheme="minorHAnsi"/>
                <w:b/>
                <w:color w:val="FFFFFF" w:themeColor="background1"/>
              </w:rPr>
            </w:pPr>
            <w:r w:rsidRPr="00947D59">
              <w:rPr>
                <w:rFonts w:cstheme="minorHAnsi"/>
                <w:b/>
                <w:color w:val="FFFFFF" w:themeColor="background1"/>
              </w:rPr>
              <w:t>Number of Interns</w:t>
            </w:r>
          </w:p>
        </w:tc>
      </w:tr>
      <w:tr w:rsidR="00FE7FEB" w:rsidRPr="00947D59" w:rsidTr="00216EDE">
        <w:trPr>
          <w:trHeight w:val="238"/>
          <w:tblHead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rPr>
                <w:rFonts w:cstheme="minorHAnsi"/>
                <w:b/>
                <w:color w:val="FFFFFF" w:themeColor="background1"/>
              </w:rPr>
            </w:pP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474FC9">
            <w:pPr>
              <w:jc w:val="center"/>
              <w:rPr>
                <w:rFonts w:cstheme="minorHAnsi"/>
                <w:b/>
                <w:color w:val="FFFFFF" w:themeColor="background1"/>
              </w:rPr>
            </w:pPr>
            <w:r w:rsidRPr="00947D59">
              <w:rPr>
                <w:rFonts w:cstheme="minorHAnsi"/>
                <w:b/>
                <w:color w:val="FFFFFF" w:themeColor="background1"/>
              </w:rPr>
              <w:t>Compulsory Internship</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474FC9">
            <w:pPr>
              <w:jc w:val="center"/>
              <w:rPr>
                <w:rFonts w:cstheme="minorHAnsi"/>
                <w:b/>
                <w:color w:val="FFFFFF" w:themeColor="background1"/>
              </w:rPr>
            </w:pPr>
            <w:r w:rsidRPr="00947D59">
              <w:rPr>
                <w:rFonts w:cstheme="minorHAnsi"/>
                <w:b/>
                <w:color w:val="FFFFFF" w:themeColor="background1"/>
              </w:rPr>
              <w:t>Appreciation Training</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TOBB ETÜ</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9</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Gazi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7</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TED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Yıldırım Beyazıt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Cumhuriyet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Marmara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Abant İzzet Baysal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Karabük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Eskişehir Osmangazi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Bilecik Şeyh Edebali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2</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Bahçeşehir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İstanbul Teknik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Kırıkkale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Bilkent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2</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Hacettepe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4</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8</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METU</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3</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Başkent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Atılım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KTO Konya Karatay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5</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10</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Necmettin Erbakan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İstanbul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2</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Çankaya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Yıldız Teknik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1</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rPr>
            </w:pPr>
            <w:r w:rsidRPr="00947D59">
              <w:rPr>
                <w:rFonts w:cstheme="minorHAnsi"/>
              </w:rPr>
              <w:t>Ankara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E7FEB" w:rsidRPr="00947D59" w:rsidRDefault="00FE7FEB" w:rsidP="00D816E6">
            <w:pPr>
              <w:jc w:val="center"/>
              <w:rPr>
                <w:rFonts w:cstheme="minorHAnsi"/>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rPr>
            </w:pPr>
            <w:r w:rsidRPr="00947D59">
              <w:rPr>
                <w:rFonts w:cstheme="minorHAnsi"/>
              </w:rPr>
              <w:t>2</w:t>
            </w:r>
          </w:p>
        </w:tc>
      </w:tr>
      <w:tr w:rsidR="00FE7FEB" w:rsidRPr="00947D59"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rPr>
                <w:rFonts w:cstheme="minorHAnsi"/>
                <w:b/>
              </w:rPr>
            </w:pPr>
            <w:r w:rsidRPr="00947D59">
              <w:rPr>
                <w:rFonts w:cstheme="minorHAnsi"/>
                <w:b/>
              </w:rPr>
              <w:t>TOTAL</w:t>
            </w:r>
          </w:p>
        </w:tc>
        <w:tc>
          <w:tcPr>
            <w:tcW w:w="305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947D59" w:rsidRDefault="00FE7FEB" w:rsidP="00D816E6">
            <w:pPr>
              <w:jc w:val="center"/>
              <w:rPr>
                <w:rFonts w:cstheme="minorHAnsi"/>
                <w:b/>
              </w:rPr>
            </w:pPr>
            <w:r w:rsidRPr="00947D59">
              <w:rPr>
                <w:rFonts w:cstheme="minorHAnsi"/>
                <w:b/>
              </w:rPr>
              <w:t>83</w:t>
            </w:r>
          </w:p>
        </w:tc>
      </w:tr>
    </w:tbl>
    <w:p w:rsidR="00FE7FEB" w:rsidRPr="00947D59" w:rsidRDefault="00FE7FEB" w:rsidP="00FE7FEB">
      <w:pPr>
        <w:jc w:val="both"/>
        <w:rPr>
          <w:rFonts w:cstheme="minorHAnsi"/>
          <w:b/>
          <w:bCs/>
        </w:rPr>
      </w:pPr>
      <w:r w:rsidRPr="00947D59">
        <w:rPr>
          <w:rFonts w:cstheme="minorHAnsi"/>
          <w:b/>
          <w:bCs/>
        </w:rPr>
        <w:tab/>
      </w:r>
      <w:r w:rsidRPr="00947D59">
        <w:rPr>
          <w:rFonts w:cstheme="minorHAnsi"/>
          <w:b/>
          <w:bCs/>
        </w:rPr>
        <w:tab/>
      </w:r>
      <w:r w:rsidRPr="00947D59">
        <w:rPr>
          <w:rFonts w:cstheme="minorHAnsi"/>
          <w:b/>
          <w:bCs/>
        </w:rPr>
        <w:tab/>
      </w:r>
    </w:p>
    <w:p w:rsidR="00FE7FEB" w:rsidRPr="00947D59" w:rsidRDefault="00FE7FEB" w:rsidP="00FE7FEB">
      <w:pPr>
        <w:jc w:val="both"/>
        <w:rPr>
          <w:rFonts w:cstheme="minorHAnsi"/>
        </w:rPr>
      </w:pPr>
      <w:r w:rsidRPr="00947D59">
        <w:rPr>
          <w:rFonts w:cstheme="minorHAnsi"/>
          <w:b/>
          <w:bCs/>
        </w:rPr>
        <w:tab/>
      </w:r>
      <w:r w:rsidRPr="00947D59">
        <w:rPr>
          <w:rFonts w:cstheme="minorHAnsi"/>
          <w:b/>
          <w:bCs/>
        </w:rPr>
        <w:tab/>
      </w:r>
      <w:r w:rsidRPr="00947D59">
        <w:rPr>
          <w:rFonts w:cstheme="minorHAnsi"/>
          <w:b/>
          <w:bCs/>
        </w:rPr>
        <w:tab/>
      </w:r>
      <w:r w:rsidRPr="00947D59">
        <w:rPr>
          <w:rFonts w:cstheme="minorHAnsi"/>
        </w:rPr>
        <w:t xml:space="preserve">*Total Training Activities Spent in 2018: </w:t>
      </w:r>
      <w:r w:rsidRPr="00947D59">
        <w:rPr>
          <w:rFonts w:cstheme="minorHAnsi"/>
          <w:color w:val="000000" w:themeColor="text1"/>
        </w:rPr>
        <w:t>1</w:t>
      </w:r>
      <w:r w:rsidRPr="00947D59">
        <w:rPr>
          <w:rFonts w:cstheme="minorHAnsi"/>
        </w:rPr>
        <w:t>.454.000,00-TL</w:t>
      </w:r>
    </w:p>
    <w:p w:rsidR="00FE7FEB" w:rsidRPr="00947D59" w:rsidRDefault="00FE7FEB" w:rsidP="00FE7FEB">
      <w:pPr>
        <w:jc w:val="both"/>
        <w:rPr>
          <w:rFonts w:cstheme="minorHAnsi"/>
          <w:b/>
          <w:bCs/>
        </w:rPr>
      </w:pPr>
    </w:p>
    <w:p w:rsidR="00FE7FEB" w:rsidRPr="00947D59" w:rsidRDefault="00FE7FEB" w:rsidP="00691CB6">
      <w:pPr>
        <w:pStyle w:val="Balk1"/>
      </w:pPr>
      <w:bookmarkStart w:id="394" w:name="_Toc12956393"/>
      <w:r w:rsidRPr="00947D59">
        <w:t>14. FINANCIAL INFORMATION</w:t>
      </w:r>
      <w:bookmarkEnd w:id="394"/>
    </w:p>
    <w:p w:rsidR="00FE7FEB" w:rsidRPr="00947D59" w:rsidRDefault="00FE7FEB" w:rsidP="00FE7FEB">
      <w:pPr>
        <w:jc w:val="both"/>
        <w:rPr>
          <w:rFonts w:cstheme="minorHAnsi"/>
          <w:b/>
          <w:bCs/>
        </w:rPr>
      </w:pPr>
      <w:r w:rsidRPr="00947D59">
        <w:rPr>
          <w:rFonts w:cstheme="minorHAnsi"/>
        </w:rPr>
        <w:t>The income of the Authority constitutes the budget of the Authority. The income of the Authority should meet the expenses. The income surplus should be transferred to the general budget by the end of March of the following year. In this context, income surpluses transferred from institutional resources to Ministry of Finance to be registered as income to general budget, according to 4628 and 5018 numbered Laws, have shown in the table hereunder;</w:t>
      </w:r>
    </w:p>
    <w:p w:rsidR="00FE7FEB" w:rsidRPr="00947D59" w:rsidRDefault="00FE7FEB" w:rsidP="00474FC9">
      <w:pPr>
        <w:pStyle w:val="Balk5"/>
      </w:pPr>
      <w:r w:rsidRPr="00947D59">
        <w:t xml:space="preserve">   </w:t>
      </w:r>
      <w:bookmarkStart w:id="395" w:name="_Toc12958550"/>
      <w:r w:rsidRPr="00947D59">
        <w:t>Table 14.1: Income Surplus Transferred to Ministry of Finance by years (TL)</w:t>
      </w:r>
      <w:bookmarkEnd w:id="395"/>
    </w:p>
    <w:tbl>
      <w:tblPr>
        <w:tblW w:w="3477" w:type="pct"/>
        <w:tblInd w:w="136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23"/>
        <w:gridCol w:w="1565"/>
        <w:gridCol w:w="1565"/>
        <w:gridCol w:w="1738"/>
        <w:gridCol w:w="147"/>
      </w:tblGrid>
      <w:tr w:rsidR="00FE7FEB" w:rsidRPr="00947D59" w:rsidTr="00474FC9">
        <w:trPr>
          <w:trHeight w:val="17"/>
        </w:trPr>
        <w:tc>
          <w:tcPr>
            <w:tcW w:w="4888" w:type="pct"/>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line="240" w:lineRule="auto"/>
              <w:jc w:val="center"/>
              <w:rPr>
                <w:rFonts w:eastAsia="Times New Roman" w:cstheme="minorHAnsi"/>
                <w:b/>
                <w:bCs/>
                <w:color w:val="FFFFFF" w:themeColor="background1"/>
                <w:lang w:eastAsia="tr-TR"/>
              </w:rPr>
            </w:pPr>
            <w:r w:rsidRPr="00947D59">
              <w:rPr>
                <w:rFonts w:cstheme="minorHAnsi"/>
                <w:b/>
                <w:bCs/>
                <w:color w:val="FFFFFF" w:themeColor="background1"/>
              </w:rPr>
              <w:t>Table 14.1: Income Surplus Transferred to Ministry of Finance by years (TL)</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color w:val="FFFFFF" w:themeColor="background1"/>
                <w:lang w:eastAsia="tr-TR"/>
              </w:rPr>
            </w:pPr>
          </w:p>
        </w:tc>
      </w:tr>
      <w:tr w:rsidR="00FE7FEB" w:rsidRPr="00947D59" w:rsidTr="00474FC9">
        <w:trPr>
          <w:trHeight w:val="439"/>
        </w:trPr>
        <w:tc>
          <w:tcPr>
            <w:tcW w:w="1222"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line="240" w:lineRule="auto"/>
              <w:jc w:val="center"/>
              <w:rPr>
                <w:rFonts w:eastAsia="Times New Roman" w:cstheme="minorHAnsi"/>
                <w:b/>
                <w:bCs/>
                <w:color w:val="FFFFFF" w:themeColor="background1"/>
                <w:lang w:eastAsia="tr-TR"/>
              </w:rPr>
            </w:pPr>
            <w:r w:rsidRPr="00947D59">
              <w:rPr>
                <w:rFonts w:eastAsia="Times New Roman" w:cstheme="minorHAnsi"/>
                <w:b/>
                <w:bCs/>
                <w:color w:val="FFFFFF" w:themeColor="background1"/>
                <w:lang w:eastAsia="tr-TR"/>
              </w:rPr>
              <w:t>Years</w:t>
            </w:r>
          </w:p>
        </w:tc>
        <w:tc>
          <w:tcPr>
            <w:tcW w:w="1179"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line="240" w:lineRule="auto"/>
              <w:jc w:val="center"/>
              <w:rPr>
                <w:rFonts w:eastAsia="Times New Roman" w:cstheme="minorHAnsi"/>
                <w:b/>
                <w:bCs/>
                <w:color w:val="FFFFFF" w:themeColor="background1"/>
                <w:lang w:eastAsia="tr-TR"/>
              </w:rPr>
            </w:pPr>
            <w:r w:rsidRPr="00947D59">
              <w:rPr>
                <w:rFonts w:eastAsia="Times New Roman" w:cstheme="minorHAnsi"/>
                <w:b/>
                <w:bCs/>
                <w:color w:val="FFFFFF" w:themeColor="background1"/>
                <w:lang w:eastAsia="tr-TR"/>
              </w:rPr>
              <w:t xml:space="preserve">Quarterly Transferred Surplus                                                                                                                                   </w:t>
            </w:r>
          </w:p>
        </w:tc>
        <w:tc>
          <w:tcPr>
            <w:tcW w:w="1179"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line="240" w:lineRule="auto"/>
              <w:jc w:val="center"/>
              <w:rPr>
                <w:rFonts w:eastAsia="Times New Roman" w:cstheme="minorHAnsi"/>
                <w:b/>
                <w:bCs/>
                <w:color w:val="FFFFFF" w:themeColor="background1"/>
                <w:lang w:eastAsia="tr-TR"/>
              </w:rPr>
            </w:pPr>
            <w:r w:rsidRPr="00947D59">
              <w:rPr>
                <w:rFonts w:eastAsia="Times New Roman" w:cstheme="minorHAnsi"/>
                <w:b/>
                <w:bCs/>
                <w:color w:val="FFFFFF" w:themeColor="background1"/>
                <w:lang w:eastAsia="tr-TR"/>
              </w:rPr>
              <w:t xml:space="preserve">Transferred Surplus by Year End                     </w:t>
            </w:r>
          </w:p>
        </w:tc>
        <w:tc>
          <w:tcPr>
            <w:tcW w:w="1309"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947D59" w:rsidRDefault="00FE7FEB" w:rsidP="00D816E6">
            <w:pPr>
              <w:spacing w:after="0" w:line="240" w:lineRule="auto"/>
              <w:jc w:val="center"/>
              <w:rPr>
                <w:rFonts w:eastAsia="Times New Roman" w:cstheme="minorHAnsi"/>
                <w:b/>
                <w:bCs/>
                <w:color w:val="FFFFFF" w:themeColor="background1"/>
                <w:lang w:eastAsia="tr-TR"/>
              </w:rPr>
            </w:pPr>
            <w:r w:rsidRPr="00947D59">
              <w:rPr>
                <w:rFonts w:eastAsia="Times New Roman" w:cstheme="minorHAnsi"/>
                <w:b/>
                <w:bCs/>
                <w:color w:val="FFFFFF" w:themeColor="background1"/>
                <w:lang w:eastAsia="tr-TR"/>
              </w:rPr>
              <w:t>Total</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color w:val="FFFFFF" w:themeColor="background1"/>
                <w:lang w:eastAsia="tr-TR"/>
              </w:rPr>
            </w:pPr>
          </w:p>
        </w:tc>
      </w:tr>
      <w:tr w:rsidR="00FE7FEB" w:rsidRPr="00947D59" w:rsidTr="00474FC9">
        <w:trPr>
          <w:trHeight w:val="439"/>
        </w:trPr>
        <w:tc>
          <w:tcPr>
            <w:tcW w:w="1222" w:type="pct"/>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eastAsia="Times New Roman" w:cstheme="minorHAnsi"/>
                <w:b/>
                <w:bCs/>
                <w:color w:val="FFFFFF" w:themeColor="background1"/>
                <w:lang w:eastAsia="tr-TR"/>
              </w:rPr>
            </w:pPr>
          </w:p>
        </w:tc>
        <w:tc>
          <w:tcPr>
            <w:tcW w:w="1179" w:type="pct"/>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eastAsia="Times New Roman" w:cstheme="minorHAnsi"/>
                <w:b/>
                <w:bCs/>
                <w:color w:val="FFFFFF" w:themeColor="background1"/>
                <w:lang w:eastAsia="tr-TR"/>
              </w:rPr>
            </w:pPr>
          </w:p>
        </w:tc>
        <w:tc>
          <w:tcPr>
            <w:tcW w:w="1179" w:type="pct"/>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eastAsia="Times New Roman" w:cstheme="minorHAnsi"/>
                <w:b/>
                <w:bCs/>
                <w:color w:val="FFFFFF" w:themeColor="background1"/>
                <w:lang w:eastAsia="tr-TR"/>
              </w:rPr>
            </w:pPr>
          </w:p>
        </w:tc>
        <w:tc>
          <w:tcPr>
            <w:tcW w:w="1309" w:type="pct"/>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rPr>
                <w:rFonts w:eastAsia="Times New Roman" w:cstheme="minorHAnsi"/>
                <w:b/>
                <w:bCs/>
                <w:color w:val="FFFFFF" w:themeColor="background1"/>
                <w:lang w:eastAsia="tr-TR"/>
              </w:rPr>
            </w:pPr>
          </w:p>
        </w:tc>
        <w:tc>
          <w:tcPr>
            <w:tcW w:w="112" w:type="pct"/>
            <w:tcBorders>
              <w:top w:val="nil"/>
              <w:left w:val="nil"/>
              <w:bottom w:val="nil"/>
              <w:right w:val="nil"/>
            </w:tcBorders>
            <w:vAlign w:val="center"/>
            <w:hideMark/>
          </w:tcPr>
          <w:p w:rsidR="00FE7FEB" w:rsidRPr="00947D59" w:rsidRDefault="00FE7FEB" w:rsidP="00D816E6">
            <w:pPr>
              <w:spacing w:after="0"/>
              <w:rPr>
                <w:rFonts w:cstheme="minorHAnsi"/>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2001</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22.306,00</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22.306,00</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2002</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0</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0</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2003</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17.992.437,17</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17.992.437,17</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2004</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39.891.979,98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39.891.979,98</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2005</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91.351.575,70</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91.351.575,70</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2006</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118.872.511,00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10.213.361,85</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129.085.872,85</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2007</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26.316.184,86</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43.563.569,34</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69.879.754,20</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2008</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6.500.000,00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27.507.108,75</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34.007.108,75</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2009</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10.000.000,00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25.560.370,79</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35.560.370,79</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18.000.000,00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47.907.651,22</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65.907.651,22</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2011</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27.500.000,00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27.474.743,68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54.974.743,68</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2012</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42.500.000,00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40.174.832,05</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82.674.832,05</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2013</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51.370.000,00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46.559.157,90</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97.929.157,90</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2014</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27.933.000,00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15.266.784,26</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43.199.784,26</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2015</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47.480.000,00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15.928.305,88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63.408.305,88</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2016</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36.500.000,00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29.518.976,87</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66.018.976,87</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2017</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18.896.300,00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34.157.312,38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53.053.612,38</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2018</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47.485.800,00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color w:val="000000" w:themeColor="text1"/>
                <w:lang w:eastAsia="tr-TR"/>
              </w:rPr>
              <w:t>49.604.977,77</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97.090.777,77</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r w:rsidR="00FE7FEB" w:rsidRPr="00947D59" w:rsidTr="00474FC9">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color w:val="000000" w:themeColor="text1"/>
                <w:lang w:eastAsia="tr-TR"/>
              </w:rPr>
              <w:t>Toplam</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479.353.795,86</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562.695.451,59</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color w:val="000000" w:themeColor="text1"/>
                <w:lang w:eastAsia="tr-TR"/>
              </w:rPr>
              <w:t>1.042.049.247,45</w:t>
            </w:r>
          </w:p>
        </w:tc>
        <w:tc>
          <w:tcPr>
            <w:tcW w:w="112" w:type="pct"/>
            <w:tcBorders>
              <w:top w:val="nil"/>
              <w:left w:val="nil"/>
              <w:bottom w:val="nil"/>
              <w:right w:val="nil"/>
            </w:tcBorders>
            <w:vAlign w:val="center"/>
            <w:hideMark/>
          </w:tcPr>
          <w:p w:rsidR="00FE7FEB" w:rsidRPr="00947D59" w:rsidRDefault="00FE7FEB" w:rsidP="00D816E6">
            <w:pPr>
              <w:rPr>
                <w:rFonts w:eastAsia="Times New Roman" w:cstheme="minorHAnsi"/>
                <w:b/>
                <w:bCs/>
                <w:lang w:eastAsia="tr-TR"/>
              </w:rPr>
            </w:pPr>
          </w:p>
        </w:tc>
      </w:tr>
    </w:tbl>
    <w:p w:rsidR="00FE7FEB" w:rsidRPr="00947D59" w:rsidRDefault="00FE7FEB" w:rsidP="00FE7FEB">
      <w:pPr>
        <w:ind w:left="2124" w:firstLine="708"/>
        <w:jc w:val="both"/>
        <w:rPr>
          <w:rFonts w:cstheme="minorHAnsi"/>
        </w:rPr>
      </w:pPr>
    </w:p>
    <w:p w:rsidR="00FE7FEB" w:rsidRPr="00947D59" w:rsidRDefault="00FE7FEB" w:rsidP="00FE7FEB">
      <w:pPr>
        <w:ind w:left="2124" w:firstLine="708"/>
        <w:jc w:val="both"/>
        <w:rPr>
          <w:rFonts w:cstheme="minorHAnsi"/>
          <w:b/>
          <w:bCs/>
        </w:rPr>
      </w:pPr>
    </w:p>
    <w:p w:rsidR="00FE7FEB" w:rsidRPr="00947D59" w:rsidRDefault="00FE7FEB" w:rsidP="00691CB6">
      <w:pPr>
        <w:pStyle w:val="Balk2"/>
      </w:pPr>
      <w:bookmarkStart w:id="396" w:name="_Toc12956394"/>
      <w:r w:rsidRPr="00947D59">
        <w:t>14.1. 2018 Budget Implementation Results</w:t>
      </w:r>
      <w:bookmarkEnd w:id="396"/>
      <w:r w:rsidRPr="00947D59">
        <w:t xml:space="preserve"> </w:t>
      </w:r>
    </w:p>
    <w:p w:rsidR="00FE7FEB" w:rsidRPr="00947D59" w:rsidRDefault="00FE7FEB" w:rsidP="00FE7FEB">
      <w:pPr>
        <w:jc w:val="both"/>
        <w:rPr>
          <w:rFonts w:cstheme="minorHAnsi"/>
        </w:rPr>
      </w:pPr>
      <w:r w:rsidRPr="00947D59">
        <w:rPr>
          <w:rFonts w:cstheme="minorHAnsi"/>
        </w:rPr>
        <w:t xml:space="preserve">2018 budget of the Authority was accepted in the Turkish Grand National Assembly became effective as of 01.01.2018 upon publication in the Official Gazette dated 31.12.2017 and bis numbered 30287. </w:t>
      </w:r>
    </w:p>
    <w:p w:rsidR="00FE7FEB" w:rsidRPr="00947D59" w:rsidRDefault="00FE7FEB" w:rsidP="00691CB6">
      <w:pPr>
        <w:pStyle w:val="Balk3"/>
      </w:pPr>
      <w:bookmarkStart w:id="397" w:name="_Toc12956395"/>
      <w:r w:rsidRPr="00947D59">
        <w:t>14.1.1. Income Budget</w:t>
      </w:r>
      <w:bookmarkEnd w:id="397"/>
    </w:p>
    <w:p w:rsidR="00FE7FEB" w:rsidRPr="00947D59" w:rsidRDefault="00FE7FEB" w:rsidP="00FE7FEB">
      <w:pPr>
        <w:jc w:val="both"/>
        <w:rPr>
          <w:rFonts w:cstheme="minorHAnsi"/>
        </w:rPr>
      </w:pPr>
      <w:r w:rsidRPr="00947D59">
        <w:rPr>
          <w:rFonts w:cstheme="minorHAnsi"/>
        </w:rPr>
        <w:t xml:space="preserve">The budget income for 2018 was projected to be 247.045.000- TL and 305.238.698,67-TL income was obtained. The rate of realization of income budget was % 123,56. The income of the Authority consists of the following elements stated in Article 10 of the Law No: 4628: </w:t>
      </w:r>
    </w:p>
    <w:p w:rsidR="00FE7FEB" w:rsidRPr="00947D59" w:rsidRDefault="00FE7FEB" w:rsidP="00FE7FEB">
      <w:pPr>
        <w:ind w:firstLine="708"/>
        <w:jc w:val="both"/>
        <w:rPr>
          <w:rFonts w:cstheme="minorHAnsi"/>
        </w:rPr>
      </w:pPr>
      <w:r w:rsidRPr="00947D59">
        <w:rPr>
          <w:rFonts w:cstheme="minorHAnsi"/>
        </w:rPr>
        <w:t xml:space="preserve">• License (annual license, granting, renewal, modification and getting a copy of the license), certificate, approval, permission and visa transaction fees. </w:t>
      </w:r>
    </w:p>
    <w:p w:rsidR="00FE7FEB" w:rsidRPr="00947D59" w:rsidRDefault="00FE7FEB" w:rsidP="00FE7FEB">
      <w:pPr>
        <w:ind w:firstLine="708"/>
        <w:jc w:val="both"/>
        <w:rPr>
          <w:rFonts w:cstheme="minorHAnsi"/>
        </w:rPr>
      </w:pPr>
      <w:r w:rsidRPr="00947D59">
        <w:rPr>
          <w:rFonts w:cstheme="minorHAnsi"/>
        </w:rPr>
        <w:t xml:space="preserve">• Contribution fee. </w:t>
      </w:r>
    </w:p>
    <w:p w:rsidR="00FE7FEB" w:rsidRPr="00947D59" w:rsidRDefault="00FE7FEB" w:rsidP="00FE7FEB">
      <w:pPr>
        <w:jc w:val="both"/>
        <w:rPr>
          <w:rFonts w:cstheme="minorHAnsi"/>
        </w:rPr>
      </w:pPr>
      <w:r w:rsidRPr="00947D59">
        <w:rPr>
          <w:rFonts w:cstheme="minorHAnsi"/>
        </w:rPr>
        <w:t xml:space="preserve">There is no contribution fee in the electricity market, the payer of the contribution fee in the natural gas market are the legal persons holding licenses and certificates. Contribution fee is calculated by multiplying the contribution fee rate determined by the Authority not exceeding 0,2‰ of the net sale proceeds amounts in the revenue tables to be prepared by the payer pertaining to the annual activity period. </w:t>
      </w:r>
    </w:p>
    <w:p w:rsidR="00FE7FEB" w:rsidRPr="00947D59" w:rsidRDefault="00FE7FEB" w:rsidP="00FE7FEB">
      <w:pPr>
        <w:jc w:val="both"/>
        <w:rPr>
          <w:rFonts w:cstheme="minorHAnsi"/>
        </w:rPr>
      </w:pPr>
      <w:r w:rsidRPr="00947D59">
        <w:rPr>
          <w:rFonts w:cstheme="minorHAnsi"/>
        </w:rPr>
        <w:t>The payers of the contribution fee in the petroleum market are the real or legal persons holding refining, processing, distributor, transmission, transportation, bunker, storage, vendorship and lube oil production licenses. Joint license holders pay the contribution fee according to their total net sale.</w:t>
      </w:r>
    </w:p>
    <w:p w:rsidR="00FE7FEB" w:rsidRPr="00947D59" w:rsidRDefault="00FE7FEB" w:rsidP="00FE7FEB">
      <w:pPr>
        <w:jc w:val="both"/>
        <w:rPr>
          <w:rFonts w:cstheme="minorHAnsi"/>
        </w:rPr>
      </w:pPr>
      <w:r w:rsidRPr="00947D59">
        <w:rPr>
          <w:rFonts w:cstheme="minorHAnsi"/>
        </w:rPr>
        <w:t xml:space="preserve">The payers of the contribution fee in the LPG market are the real or legal persons holding petroleum market refining undertaking, LPG market distribution, LPG market auto gas vendorship licenses. The license or joint license holders operating in the LPG market pay the contribution fee according to their total net liquid fuel or LPG sale. </w:t>
      </w:r>
    </w:p>
    <w:p w:rsidR="00FE7FEB" w:rsidRPr="00947D59" w:rsidRDefault="00FE7FEB" w:rsidP="00FE7FEB">
      <w:pPr>
        <w:jc w:val="both"/>
        <w:rPr>
          <w:rFonts w:cstheme="minorHAnsi"/>
        </w:rPr>
      </w:pPr>
      <w:r w:rsidRPr="00947D59">
        <w:rPr>
          <w:rFonts w:cstheme="minorHAnsi"/>
        </w:rPr>
        <w:t xml:space="preserve">However, contribution fee pertaining to petroleum and LPG markets are determined by the Board not exceeding 1‰ of the amount of net sale in the license holders’ annual revenue tables and not exceeding two million USD. </w:t>
      </w:r>
    </w:p>
    <w:p w:rsidR="00FE7FEB" w:rsidRPr="00947D59" w:rsidRDefault="00FE7FEB" w:rsidP="00FE7FEB">
      <w:pPr>
        <w:jc w:val="both"/>
        <w:rPr>
          <w:rFonts w:cstheme="minorHAnsi"/>
        </w:rPr>
      </w:pPr>
      <w:r w:rsidRPr="00947D59">
        <w:rPr>
          <w:rFonts w:cstheme="minorHAnsi"/>
        </w:rPr>
        <w:t xml:space="preserve">On the other hand; </w:t>
      </w:r>
    </w:p>
    <w:p w:rsidR="00FE7FEB" w:rsidRPr="00947D59" w:rsidRDefault="00FE7FEB" w:rsidP="00FE7FEB">
      <w:pPr>
        <w:jc w:val="both"/>
        <w:rPr>
          <w:rFonts w:cstheme="minorHAnsi"/>
        </w:rPr>
      </w:pPr>
      <w:r w:rsidRPr="00947D59">
        <w:rPr>
          <w:rFonts w:cstheme="minorHAnsi"/>
        </w:rPr>
        <w:t xml:space="preserve">• Transmission surcharge at a rate of maximum 1% of the electricity market transmission tariff. </w:t>
      </w:r>
    </w:p>
    <w:p w:rsidR="00FE7FEB" w:rsidRPr="00947D59" w:rsidRDefault="00FE7FEB" w:rsidP="00FE7FEB">
      <w:pPr>
        <w:jc w:val="both"/>
        <w:rPr>
          <w:rFonts w:cstheme="minorHAnsi"/>
        </w:rPr>
      </w:pPr>
      <w:r w:rsidRPr="00947D59">
        <w:rPr>
          <w:rFonts w:cstheme="minorHAnsi"/>
        </w:rPr>
        <w:t xml:space="preserve">• 25% of the administrative fines imposed by the Board pertaining to the electricity market </w:t>
      </w:r>
    </w:p>
    <w:p w:rsidR="00FE7FEB" w:rsidRPr="00947D59" w:rsidRDefault="00FE7FEB" w:rsidP="00FE7FEB">
      <w:pPr>
        <w:jc w:val="both"/>
        <w:rPr>
          <w:rFonts w:cstheme="minorHAnsi"/>
        </w:rPr>
      </w:pPr>
      <w:r w:rsidRPr="00947D59">
        <w:rPr>
          <w:rFonts w:cstheme="minorHAnsi"/>
        </w:rPr>
        <w:t xml:space="preserve">• Publication revenues and other revenues, </w:t>
      </w:r>
    </w:p>
    <w:p w:rsidR="00FE7FEB" w:rsidRPr="00947D59" w:rsidRDefault="00FE7FEB" w:rsidP="00FE7FEB">
      <w:pPr>
        <w:jc w:val="both"/>
        <w:rPr>
          <w:rFonts w:cstheme="minorHAnsi"/>
        </w:rPr>
      </w:pPr>
      <w:r w:rsidRPr="00947D59">
        <w:rPr>
          <w:rFonts w:cstheme="minorHAnsi"/>
        </w:rPr>
        <w:t xml:space="preserve">• Grants to be provided by the international organizations or institutions to be used in the financing of the preliminary studies and project studies pertaining to market development provided that the details are announced to the public. </w:t>
      </w:r>
    </w:p>
    <w:p w:rsidR="00FE7FEB" w:rsidRPr="00947D59" w:rsidRDefault="00FE7FEB" w:rsidP="00FE7FEB">
      <w:pPr>
        <w:jc w:val="both"/>
        <w:rPr>
          <w:rFonts w:cstheme="minorHAnsi"/>
        </w:rPr>
      </w:pPr>
      <w:r w:rsidRPr="00947D59">
        <w:rPr>
          <w:rFonts w:cstheme="minorHAnsi"/>
        </w:rPr>
        <w:t>The fees to be applied in 2018 regarding the abovementioned revenue items was determined by Board Decision.</w:t>
      </w:r>
    </w:p>
    <w:p w:rsidR="00FE7FEB" w:rsidRPr="00947D59" w:rsidRDefault="00FE7FEB" w:rsidP="00691CB6">
      <w:pPr>
        <w:pStyle w:val="Balk3"/>
      </w:pPr>
      <w:bookmarkStart w:id="398" w:name="_Toc12956396"/>
      <w:r w:rsidRPr="00947D59">
        <w:t>14.1.2. Expenditure Budget</w:t>
      </w:r>
      <w:bookmarkEnd w:id="398"/>
      <w:r w:rsidRPr="00947D59">
        <w:t xml:space="preserve"> </w:t>
      </w:r>
    </w:p>
    <w:p w:rsidR="00FE7FEB" w:rsidRPr="00947D59" w:rsidRDefault="00FE7FEB" w:rsidP="00FE7FEB">
      <w:pPr>
        <w:jc w:val="both"/>
        <w:rPr>
          <w:rFonts w:cstheme="minorHAnsi"/>
          <w:b/>
          <w:bCs/>
        </w:rPr>
      </w:pPr>
      <w:r w:rsidRPr="00947D59">
        <w:rPr>
          <w:rFonts w:cstheme="minorHAnsi"/>
        </w:rPr>
        <w:t>2018 expenditure budget of the Authority was projected to be 247.045.000- TL but 96.840.777,77 TL appropriation as surplus revenue to the ‘shares given to the general budget’ code as per the article 78 of the Public Fiscal Management Control Law and the total expenditure budget increased to 343.885.777,77 TL . 305.238.698,67 TL of the total appropriation was spent and the remaining 38.647.079,10 TL was cancelled at the end of the year. Thus expenditure budget realization rate was % 88,76. In the following tables, the balance sheet of the Authority for the years 2016-2017-2018 and the comperative results of activities are shown.</w:t>
      </w:r>
    </w:p>
    <w:p w:rsidR="00FE7FEB" w:rsidRPr="00947D59" w:rsidRDefault="00FE7FEB" w:rsidP="00FE7FEB">
      <w:pPr>
        <w:jc w:val="center"/>
        <w:rPr>
          <w:rFonts w:cstheme="minorHAnsi"/>
          <w:b/>
          <w:bCs/>
        </w:rPr>
      </w:pPr>
    </w:p>
    <w:p w:rsidR="00FE7FEB" w:rsidRDefault="00FE7FEB"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Default="005F0CC7" w:rsidP="00FE7FEB">
      <w:pPr>
        <w:jc w:val="center"/>
        <w:rPr>
          <w:rFonts w:cstheme="minorHAnsi"/>
          <w:b/>
          <w:bCs/>
        </w:rPr>
      </w:pPr>
    </w:p>
    <w:p w:rsidR="005F0CC7" w:rsidRPr="00947D59" w:rsidRDefault="005F0CC7" w:rsidP="00FE7FEB">
      <w:pPr>
        <w:jc w:val="center"/>
        <w:rPr>
          <w:rFonts w:cstheme="minorHAnsi"/>
          <w:b/>
          <w:bCs/>
        </w:rPr>
      </w:pPr>
    </w:p>
    <w:p w:rsidR="00FE7FEB" w:rsidRPr="00947D59" w:rsidRDefault="00FE7FEB" w:rsidP="00FE7FEB">
      <w:pPr>
        <w:jc w:val="center"/>
        <w:rPr>
          <w:rFonts w:cstheme="minorHAnsi"/>
          <w:b/>
          <w:bCs/>
          <w:highlight w:val="yellow"/>
        </w:rPr>
      </w:pPr>
      <w:r w:rsidRPr="00947D59">
        <w:rPr>
          <w:rFonts w:cstheme="minorHAnsi"/>
          <w:b/>
          <w:bCs/>
        </w:rPr>
        <w:t>ENERGY MARKET REGULATORY AUTHORITY ACTIVITY RESULTS (TL)</w:t>
      </w:r>
    </w:p>
    <w:tbl>
      <w:tblPr>
        <w:tblW w:w="5000" w:type="pct"/>
        <w:tblCellMar>
          <w:left w:w="70" w:type="dxa"/>
          <w:right w:w="70" w:type="dxa"/>
        </w:tblCellMar>
        <w:tblLook w:val="04A0" w:firstRow="1" w:lastRow="0" w:firstColumn="1" w:lastColumn="0" w:noHBand="0" w:noVBand="1"/>
      </w:tblPr>
      <w:tblGrid>
        <w:gridCol w:w="267"/>
        <w:gridCol w:w="225"/>
        <w:gridCol w:w="225"/>
        <w:gridCol w:w="1761"/>
        <w:gridCol w:w="675"/>
        <w:gridCol w:w="675"/>
        <w:gridCol w:w="675"/>
        <w:gridCol w:w="142"/>
        <w:gridCol w:w="268"/>
        <w:gridCol w:w="226"/>
        <w:gridCol w:w="226"/>
        <w:gridCol w:w="226"/>
        <w:gridCol w:w="226"/>
        <w:gridCol w:w="1704"/>
        <w:gridCol w:w="675"/>
        <w:gridCol w:w="675"/>
        <w:gridCol w:w="675"/>
      </w:tblGrid>
      <w:tr w:rsidR="00FE7FEB" w:rsidRPr="00947D59" w:rsidTr="00D816E6">
        <w:trPr>
          <w:trHeight w:val="20"/>
        </w:trPr>
        <w:tc>
          <w:tcPr>
            <w:tcW w:w="1697" w:type="pct"/>
            <w:gridSpan w:val="4"/>
            <w:tcBorders>
              <w:top w:val="single" w:sz="8" w:space="0" w:color="auto"/>
              <w:left w:val="single" w:sz="8" w:space="0" w:color="auto"/>
              <w:bottom w:val="single" w:sz="8" w:space="0" w:color="auto"/>
              <w:right w:val="nil"/>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TYPE OF EXPENSE</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31.12.2016</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31.12.2017</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31.12.2018</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820" w:type="pct"/>
            <w:gridSpan w:val="5"/>
            <w:tcBorders>
              <w:top w:val="single" w:sz="8" w:space="0" w:color="auto"/>
              <w:left w:val="single" w:sz="8" w:space="0" w:color="auto"/>
              <w:bottom w:val="single" w:sz="8" w:space="0" w:color="auto"/>
              <w:right w:val="nil"/>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TYPE OF INCOME</w:t>
            </w:r>
          </w:p>
        </w:tc>
        <w:tc>
          <w:tcPr>
            <w:tcW w:w="636" w:type="pct"/>
            <w:tcBorders>
              <w:top w:val="single" w:sz="8" w:space="0" w:color="auto"/>
              <w:left w:val="nil"/>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31.12.2016</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31.12.2017</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31.12.2018</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Staff Expenses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48.162.981,46</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47.980.412,78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62.790.649,06</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Enterprice and ownership</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208.353.762,80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223.500.679,46</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253.965.397,99</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Social Security Institutions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5.143.183,83</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5.255.587,67</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7.568.961,93</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Sale of goods and services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50.290,00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51.085,00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140,00</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Procurement of Goods and Services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91.405.944,68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105.178.197,13</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86.107.872,01</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36" w:type="pct"/>
            <w:tcBorders>
              <w:top w:val="nil"/>
              <w:left w:val="nil"/>
              <w:bottom w:val="single" w:sz="4" w:space="0" w:color="auto"/>
              <w:right w:val="nil"/>
            </w:tcBorders>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Permission for use or operation of goods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208.303.472,80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223.449.594,46</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253.965.257,99</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xml:space="preserve">630 </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Procurement of consumption goods equipment</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1.714.383,14</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2.279.574,71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2.431.863,40</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10</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Electricity market licensing</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46.669.010,03</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47.019.926,48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50.800.763,90</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Transportation allowances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865.321,61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978.799,22</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1.352.961,87</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11</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Natural gas market licensing and certification</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49.626.538,87</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46.434.957,19</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50.952.608,34</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04</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Duty allowances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2.253.852,11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1.675.785,57</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1.411.142,94</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12</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Petroleum market licensing</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93.923.166,62</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104.953.460,18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124.885.657,04</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Procurement of service</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86.128.539,33</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97.359.091,66</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78.410.153,32</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13</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LPG market licensing</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18.084.757,28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25.041.250,61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27.326.228,71</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06</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Representation and publicity</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63.470,43</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117.674,63</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82.954,50</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Other</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56.879.184,03</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62.853.776,51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62.343.169,95</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07</w:t>
            </w:r>
          </w:p>
        </w:tc>
        <w:tc>
          <w:tcPr>
            <w:tcW w:w="622" w:type="pct"/>
            <w:tcBorders>
              <w:top w:val="nil"/>
              <w:left w:val="nil"/>
              <w:bottom w:val="single" w:sz="4" w:space="0" w:color="auto"/>
              <w:right w:val="nil"/>
            </w:tcBorders>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Movable, intangible right procurement, repair and maintenance</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380.378,06</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2.767.271,34</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2.418.795,98</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Interest revenues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3.610.474,31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5.053.822,18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5.095.579,70</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08</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Immovable goods maintenance and repair</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09</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Deposit rates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3.610.474,31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5.053.822,18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5.095.579,70</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09</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Health care and funeral</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Fees collected from persons and institutions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29.652.113,34</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34.558.808,21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41.641.708,29</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04</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Interest expenses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02</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09</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99</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Other fees (TEİAŞ)</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29.652.113,34</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34.558.808,21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41.641.708,29</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Current transfers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68.626.925,70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56.712.518,61</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102.147.546,62</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09</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3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Other revenues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23.616.596,38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23.241.146,12</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15.605.881,96</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Duty losses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2.334.419,44</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3.384.457,79</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4.721.416,76</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09</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01</w:t>
            </w:r>
          </w:p>
        </w:tc>
        <w:tc>
          <w:tcPr>
            <w:tcW w:w="116"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99</w:t>
            </w:r>
          </w:p>
        </w:tc>
        <w:tc>
          <w:tcPr>
            <w:tcW w:w="636" w:type="pct"/>
            <w:tcBorders>
              <w:top w:val="nil"/>
              <w:left w:val="nil"/>
              <w:bottom w:val="single" w:sz="4" w:space="0" w:color="auto"/>
              <w:right w:val="nil"/>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Other various revenues not defined above</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23.616.596,38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23.241.146,12</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15.605.881,96</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03</w:t>
            </w:r>
          </w:p>
        </w:tc>
        <w:tc>
          <w:tcPr>
            <w:tcW w:w="622" w:type="pct"/>
            <w:tcBorders>
              <w:top w:val="nil"/>
              <w:left w:val="nil"/>
              <w:bottom w:val="single" w:sz="4" w:space="0" w:color="auto"/>
              <w:right w:val="nil"/>
            </w:tcBorders>
            <w:vAlign w:val="center"/>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Transfers to non-profit organizations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246.232,44</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241.395,00</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295.301,67</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600</w:t>
            </w:r>
          </w:p>
        </w:tc>
        <w:tc>
          <w:tcPr>
            <w:tcW w:w="116" w:type="pct"/>
            <w:tcBorders>
              <w:top w:val="nil"/>
              <w:left w:val="nil"/>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11</w:t>
            </w:r>
          </w:p>
        </w:tc>
        <w:tc>
          <w:tcPr>
            <w:tcW w:w="116"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116" w:type="pct"/>
            <w:tcBorders>
              <w:top w:val="nil"/>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36" w:type="pct"/>
            <w:tcBorders>
              <w:top w:val="nil"/>
              <w:left w:val="nil"/>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Revenues from changes in value and amount</w:t>
            </w:r>
          </w:p>
        </w:tc>
        <w:tc>
          <w:tcPr>
            <w:tcW w:w="302"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302" w:type="pct"/>
            <w:tcBorders>
              <w:top w:val="nil"/>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302" w:type="pct"/>
            <w:tcBorders>
              <w:top w:val="nil"/>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06</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Transfers to foreign countries</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27.296,95</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33.053,44</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40.050,42</w:t>
            </w:r>
          </w:p>
        </w:tc>
        <w:tc>
          <w:tcPr>
            <w:tcW w:w="35" w:type="pct"/>
            <w:noWrap/>
            <w:vAlign w:val="bottom"/>
            <w:hideMark/>
          </w:tcPr>
          <w:p w:rsidR="00FE7FEB" w:rsidRPr="00947D59" w:rsidRDefault="00FE7FEB" w:rsidP="00D816E6">
            <w:pPr>
              <w:rPr>
                <w:rFonts w:eastAsia="Times New Roman" w:cstheme="minorHAnsi"/>
                <w:lang w:eastAsia="tr-TR"/>
              </w:rPr>
            </w:pPr>
          </w:p>
        </w:tc>
        <w:tc>
          <w:tcPr>
            <w:tcW w:w="357"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36"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05</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08</w:t>
            </w:r>
          </w:p>
        </w:tc>
        <w:tc>
          <w:tcPr>
            <w:tcW w:w="62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Shares allocated from the income</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66.018.976,87</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53.053.612,38</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97.090.777,77</w:t>
            </w:r>
          </w:p>
        </w:tc>
        <w:tc>
          <w:tcPr>
            <w:tcW w:w="35" w:type="pct"/>
            <w:noWrap/>
            <w:vAlign w:val="bottom"/>
            <w:hideMark/>
          </w:tcPr>
          <w:p w:rsidR="00FE7FEB" w:rsidRPr="00947D59" w:rsidRDefault="00FE7FEB" w:rsidP="00D816E6">
            <w:pPr>
              <w:rPr>
                <w:rFonts w:eastAsia="Times New Roman" w:cstheme="minorHAnsi"/>
                <w:lang w:eastAsia="tr-TR"/>
              </w:rPr>
            </w:pPr>
          </w:p>
        </w:tc>
        <w:tc>
          <w:tcPr>
            <w:tcW w:w="1456" w:type="pct"/>
            <w:gridSpan w:val="6"/>
            <w:tcBorders>
              <w:top w:val="single" w:sz="8" w:space="0" w:color="auto"/>
              <w:left w:val="single" w:sz="8" w:space="0" w:color="auto"/>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TOTAL INCOME (B)</w:t>
            </w:r>
          </w:p>
        </w:tc>
        <w:tc>
          <w:tcPr>
            <w:tcW w:w="302" w:type="pct"/>
            <w:tcBorders>
              <w:top w:val="single" w:sz="8" w:space="0" w:color="auto"/>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265.232.946,83</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286.354.455,97</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316.308.567,94</w:t>
            </w:r>
          </w:p>
        </w:tc>
      </w:tr>
      <w:tr w:rsidR="00FE7FEB" w:rsidRPr="00947D59" w:rsidTr="00D816E6">
        <w:trPr>
          <w:trHeight w:val="20"/>
        </w:trPr>
        <w:tc>
          <w:tcPr>
            <w:tcW w:w="844"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12</w:t>
            </w:r>
          </w:p>
        </w:tc>
        <w:tc>
          <w:tcPr>
            <w:tcW w:w="116"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2" w:type="pct"/>
            <w:tcBorders>
              <w:top w:val="nil"/>
              <w:left w:val="nil"/>
              <w:bottom w:val="single" w:sz="4" w:space="0" w:color="auto"/>
              <w:right w:val="nil"/>
            </w:tcBorders>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Expenses stemming form the rejection and return of the income</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6.793.112,96</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4.861.146,64</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357"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36"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r>
      <w:tr w:rsidR="00FE7FEB" w:rsidRPr="00947D59" w:rsidTr="00D816E6">
        <w:trPr>
          <w:trHeight w:val="20"/>
        </w:trPr>
        <w:tc>
          <w:tcPr>
            <w:tcW w:w="844"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w:t>
            </w:r>
          </w:p>
        </w:tc>
        <w:tc>
          <w:tcPr>
            <w:tcW w:w="116" w:type="pct"/>
            <w:tcBorders>
              <w:top w:val="nil"/>
              <w:left w:val="nil"/>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13</w:t>
            </w:r>
          </w:p>
        </w:tc>
        <w:tc>
          <w:tcPr>
            <w:tcW w:w="116"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2" w:type="pct"/>
            <w:tcBorders>
              <w:top w:val="nil"/>
              <w:left w:val="nil"/>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Depreciation expenses</w:t>
            </w:r>
          </w:p>
        </w:tc>
        <w:tc>
          <w:tcPr>
            <w:tcW w:w="302"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16.101.332,49</w:t>
            </w:r>
          </w:p>
        </w:tc>
        <w:tc>
          <w:tcPr>
            <w:tcW w:w="302" w:type="pct"/>
            <w:tcBorders>
              <w:top w:val="nil"/>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2.862.657,19</w:t>
            </w:r>
          </w:p>
        </w:tc>
        <w:tc>
          <w:tcPr>
            <w:tcW w:w="302" w:type="pct"/>
            <w:tcBorders>
              <w:top w:val="nil"/>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5.569.134,97</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1456" w:type="pct"/>
            <w:gridSpan w:val="6"/>
            <w:tcBorders>
              <w:top w:val="single" w:sz="8" w:space="0" w:color="auto"/>
              <w:left w:val="single" w:sz="8" w:space="0" w:color="auto"/>
              <w:bottom w:val="single" w:sz="8" w:space="0" w:color="auto"/>
              <w:right w:val="nil"/>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TYPES OF DISCOUNTS AND RETURNS</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31.12.2016</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31.12.2017</w:t>
            </w:r>
          </w:p>
        </w:tc>
        <w:tc>
          <w:tcPr>
            <w:tcW w:w="302" w:type="pct"/>
            <w:tcBorders>
              <w:top w:val="single" w:sz="8" w:space="0" w:color="auto"/>
              <w:left w:val="nil"/>
              <w:bottom w:val="single" w:sz="8" w:space="0" w:color="auto"/>
              <w:right w:val="single" w:sz="8"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31.12.2018</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b/>
                <w:bCs/>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tcBorders>
              <w:top w:val="nil"/>
              <w:left w:val="single" w:sz="8" w:space="0" w:color="auto"/>
              <w:bottom w:val="single" w:sz="4" w:space="0" w:color="auto"/>
              <w:right w:val="nil"/>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610</w:t>
            </w:r>
          </w:p>
        </w:tc>
        <w:tc>
          <w:tcPr>
            <w:tcW w:w="116" w:type="pct"/>
            <w:tcBorders>
              <w:top w:val="nil"/>
              <w:left w:val="single" w:sz="8" w:space="0" w:color="auto"/>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03</w:t>
            </w:r>
          </w:p>
        </w:tc>
        <w:tc>
          <w:tcPr>
            <w:tcW w:w="116" w:type="pct"/>
            <w:tcBorders>
              <w:top w:val="nil"/>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116" w:type="pct"/>
            <w:tcBorders>
              <w:top w:val="nil"/>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116" w:type="pct"/>
            <w:tcBorders>
              <w:top w:val="nil"/>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636" w:type="pct"/>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Enterprice and ownership</w:t>
            </w:r>
          </w:p>
        </w:tc>
        <w:tc>
          <w:tcPr>
            <w:tcW w:w="302" w:type="pct"/>
            <w:tcBorders>
              <w:top w:val="nil"/>
              <w:left w:val="nil"/>
              <w:bottom w:val="single" w:sz="4" w:space="0" w:color="auto"/>
              <w:right w:val="nil"/>
            </w:tcBorders>
            <w:noWrap/>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lang w:eastAsia="tr-TR"/>
              </w:rPr>
              <w:t>802.121,57</w:t>
            </w:r>
          </w:p>
        </w:tc>
        <w:tc>
          <w:tcPr>
            <w:tcW w:w="302" w:type="pct"/>
            <w:tcBorders>
              <w:top w:val="nil"/>
              <w:left w:val="single" w:sz="8" w:space="0" w:color="auto"/>
              <w:bottom w:val="single" w:sz="4" w:space="0" w:color="auto"/>
              <w:right w:val="single" w:sz="8" w:space="0" w:color="auto"/>
            </w:tcBorders>
            <w:noWrap/>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lang w:eastAsia="tr-TR"/>
              </w:rPr>
              <w:t>1.038.755,66</w:t>
            </w:r>
          </w:p>
        </w:tc>
        <w:tc>
          <w:tcPr>
            <w:tcW w:w="302" w:type="pct"/>
            <w:tcBorders>
              <w:top w:val="nil"/>
              <w:left w:val="nil"/>
              <w:bottom w:val="single" w:sz="4" w:space="0" w:color="auto"/>
              <w:right w:val="single" w:sz="8" w:space="0" w:color="auto"/>
            </w:tcBorders>
            <w:noWrap/>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lang w:eastAsia="tr-TR"/>
              </w:rPr>
              <w:t>2.114.337,79</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b/>
                <w:bCs/>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tcBorders>
              <w:top w:val="nil"/>
              <w:left w:val="single" w:sz="8" w:space="0" w:color="auto"/>
              <w:bottom w:val="single" w:sz="4" w:space="0" w:color="auto"/>
              <w:right w:val="nil"/>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610</w:t>
            </w:r>
          </w:p>
        </w:tc>
        <w:tc>
          <w:tcPr>
            <w:tcW w:w="116" w:type="pct"/>
            <w:tcBorders>
              <w:top w:val="single" w:sz="8" w:space="0" w:color="auto"/>
              <w:left w:val="single" w:sz="8" w:space="0" w:color="auto"/>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03</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636" w:type="pct"/>
            <w:tcBorders>
              <w:top w:val="single" w:sz="4" w:space="0" w:color="auto"/>
              <w:left w:val="nil"/>
              <w:bottom w:val="nil"/>
              <w:right w:val="nil"/>
            </w:tcBorders>
            <w:vAlign w:val="center"/>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Permission for use or operation of goods</w:t>
            </w:r>
          </w:p>
        </w:tc>
        <w:tc>
          <w:tcPr>
            <w:tcW w:w="302" w:type="pct"/>
            <w:tcBorders>
              <w:top w:val="nil"/>
              <w:left w:val="nil"/>
              <w:bottom w:val="single" w:sz="4" w:space="0" w:color="auto"/>
              <w:right w:val="nil"/>
            </w:tcBorders>
            <w:noWrap/>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lang w:eastAsia="tr-TR"/>
              </w:rPr>
              <w:t>802.121,57</w:t>
            </w:r>
          </w:p>
        </w:tc>
        <w:tc>
          <w:tcPr>
            <w:tcW w:w="302" w:type="pct"/>
            <w:tcBorders>
              <w:top w:val="nil"/>
              <w:left w:val="single" w:sz="8" w:space="0" w:color="auto"/>
              <w:bottom w:val="single" w:sz="4" w:space="0" w:color="auto"/>
              <w:right w:val="single" w:sz="8" w:space="0" w:color="auto"/>
            </w:tcBorders>
            <w:noWrap/>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lang w:eastAsia="tr-TR"/>
              </w:rPr>
              <w:t>1.038.755,66</w:t>
            </w:r>
          </w:p>
        </w:tc>
        <w:tc>
          <w:tcPr>
            <w:tcW w:w="302" w:type="pct"/>
            <w:tcBorders>
              <w:top w:val="nil"/>
              <w:left w:val="nil"/>
              <w:bottom w:val="single" w:sz="4" w:space="0" w:color="auto"/>
              <w:right w:val="single" w:sz="8" w:space="0" w:color="auto"/>
            </w:tcBorders>
            <w:noWrap/>
            <w:vAlign w:val="center"/>
            <w:hideMark/>
          </w:tcPr>
          <w:p w:rsidR="00FE7FEB" w:rsidRPr="00947D59" w:rsidRDefault="00FE7FEB" w:rsidP="00D816E6">
            <w:pPr>
              <w:spacing w:after="0" w:line="240" w:lineRule="auto"/>
              <w:jc w:val="right"/>
              <w:rPr>
                <w:rFonts w:eastAsia="Times New Roman" w:cstheme="minorHAnsi"/>
                <w:lang w:eastAsia="tr-TR"/>
              </w:rPr>
            </w:pPr>
            <w:r w:rsidRPr="00947D59">
              <w:rPr>
                <w:rFonts w:eastAsia="Times New Roman" w:cstheme="minorHAnsi"/>
                <w:lang w:eastAsia="tr-TR"/>
              </w:rPr>
              <w:t>2.114.337,79</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tcBorders>
              <w:top w:val="nil"/>
              <w:left w:val="single" w:sz="8" w:space="0" w:color="auto"/>
              <w:bottom w:val="single" w:sz="4" w:space="0" w:color="auto"/>
              <w:right w:val="nil"/>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610</w:t>
            </w:r>
          </w:p>
        </w:tc>
        <w:tc>
          <w:tcPr>
            <w:tcW w:w="116" w:type="pct"/>
            <w:tcBorders>
              <w:top w:val="single" w:sz="8" w:space="0" w:color="auto"/>
              <w:left w:val="single" w:sz="8" w:space="0" w:color="auto"/>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03</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10</w:t>
            </w:r>
          </w:p>
        </w:tc>
        <w:tc>
          <w:tcPr>
            <w:tcW w:w="636" w:type="pct"/>
            <w:tcBorders>
              <w:top w:val="single" w:sz="4" w:space="0" w:color="auto"/>
              <w:left w:val="nil"/>
              <w:bottom w:val="nil"/>
              <w:right w:val="nil"/>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Electricity market licensing</w:t>
            </w:r>
          </w:p>
        </w:tc>
        <w:tc>
          <w:tcPr>
            <w:tcW w:w="30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304.287,77</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205.005,57</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392.294,95</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tcBorders>
              <w:top w:val="nil"/>
              <w:left w:val="single" w:sz="8" w:space="0" w:color="auto"/>
              <w:bottom w:val="single" w:sz="4" w:space="0" w:color="auto"/>
              <w:right w:val="nil"/>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610</w:t>
            </w:r>
          </w:p>
        </w:tc>
        <w:tc>
          <w:tcPr>
            <w:tcW w:w="116" w:type="pct"/>
            <w:tcBorders>
              <w:top w:val="single" w:sz="8" w:space="0" w:color="auto"/>
              <w:left w:val="single" w:sz="8" w:space="0" w:color="auto"/>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03</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11</w:t>
            </w:r>
          </w:p>
        </w:tc>
        <w:tc>
          <w:tcPr>
            <w:tcW w:w="636" w:type="pct"/>
            <w:tcBorders>
              <w:top w:val="single" w:sz="4" w:space="0" w:color="auto"/>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Natural gas market licensing and certification</w:t>
            </w:r>
          </w:p>
        </w:tc>
        <w:tc>
          <w:tcPr>
            <w:tcW w:w="30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14.133,80</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109.028,32</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221.195,99</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tcBorders>
              <w:top w:val="nil"/>
              <w:left w:val="single" w:sz="8" w:space="0" w:color="auto"/>
              <w:bottom w:val="single" w:sz="4" w:space="0" w:color="auto"/>
              <w:right w:val="nil"/>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610</w:t>
            </w:r>
          </w:p>
        </w:tc>
        <w:tc>
          <w:tcPr>
            <w:tcW w:w="116" w:type="pct"/>
            <w:tcBorders>
              <w:top w:val="single" w:sz="8" w:space="0" w:color="auto"/>
              <w:left w:val="single" w:sz="8" w:space="0" w:color="auto"/>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03</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12</w:t>
            </w:r>
          </w:p>
        </w:tc>
        <w:tc>
          <w:tcPr>
            <w:tcW w:w="636" w:type="pct"/>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Petroleum market licensing</w:t>
            </w:r>
          </w:p>
        </w:tc>
        <w:tc>
          <w:tcPr>
            <w:tcW w:w="30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385.500,00</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509.568,02</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1.278.421,85</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tcBorders>
              <w:top w:val="nil"/>
              <w:left w:val="single" w:sz="8" w:space="0" w:color="auto"/>
              <w:bottom w:val="nil"/>
              <w:right w:val="nil"/>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610</w:t>
            </w:r>
          </w:p>
        </w:tc>
        <w:tc>
          <w:tcPr>
            <w:tcW w:w="116" w:type="pct"/>
            <w:tcBorders>
              <w:top w:val="single" w:sz="8" w:space="0" w:color="auto"/>
              <w:left w:val="single" w:sz="8" w:space="0" w:color="auto"/>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03</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w:t>
            </w:r>
          </w:p>
        </w:tc>
        <w:tc>
          <w:tcPr>
            <w:tcW w:w="116" w:type="pct"/>
            <w:tcBorders>
              <w:top w:val="single" w:sz="4" w:space="0" w:color="auto"/>
              <w:left w:val="nil"/>
              <w:bottom w:val="nil"/>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13</w:t>
            </w:r>
          </w:p>
        </w:tc>
        <w:tc>
          <w:tcPr>
            <w:tcW w:w="636" w:type="pct"/>
            <w:tcBorders>
              <w:top w:val="single" w:sz="4" w:space="0" w:color="auto"/>
              <w:left w:val="nil"/>
              <w:bottom w:val="nil"/>
              <w:right w:val="nil"/>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cstheme="minorHAnsi"/>
              </w:rPr>
              <w:t>LPG market licensing</w:t>
            </w:r>
          </w:p>
        </w:tc>
        <w:tc>
          <w:tcPr>
            <w:tcW w:w="302" w:type="pct"/>
            <w:tcBorders>
              <w:top w:val="nil"/>
              <w:left w:val="nil"/>
              <w:bottom w:val="single" w:sz="4"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98.200,00</w:t>
            </w:r>
          </w:p>
        </w:tc>
        <w:tc>
          <w:tcPr>
            <w:tcW w:w="302" w:type="pct"/>
            <w:tcBorders>
              <w:top w:val="nil"/>
              <w:left w:val="single" w:sz="8" w:space="0" w:color="auto"/>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215.153,75</w:t>
            </w:r>
          </w:p>
        </w:tc>
        <w:tc>
          <w:tcPr>
            <w:tcW w:w="302" w:type="pct"/>
            <w:tcBorders>
              <w:top w:val="nil"/>
              <w:left w:val="nil"/>
              <w:bottom w:val="single" w:sz="4"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222.425,00</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tcBorders>
              <w:top w:val="nil"/>
              <w:left w:val="single" w:sz="8" w:space="0" w:color="auto"/>
              <w:bottom w:val="nil"/>
              <w:right w:val="nil"/>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610</w:t>
            </w:r>
          </w:p>
        </w:tc>
        <w:tc>
          <w:tcPr>
            <w:tcW w:w="116" w:type="pct"/>
            <w:tcBorders>
              <w:top w:val="nil"/>
              <w:left w:val="single" w:sz="8" w:space="0" w:color="auto"/>
              <w:bottom w:val="single" w:sz="8" w:space="0" w:color="auto"/>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05</w:t>
            </w:r>
          </w:p>
        </w:tc>
        <w:tc>
          <w:tcPr>
            <w:tcW w:w="116" w:type="pct"/>
            <w:tcBorders>
              <w:top w:val="nil"/>
              <w:left w:val="nil"/>
              <w:bottom w:val="single" w:sz="8" w:space="0" w:color="auto"/>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9</w:t>
            </w:r>
          </w:p>
        </w:tc>
        <w:tc>
          <w:tcPr>
            <w:tcW w:w="116" w:type="pct"/>
            <w:tcBorders>
              <w:top w:val="nil"/>
              <w:left w:val="nil"/>
              <w:bottom w:val="single" w:sz="8" w:space="0" w:color="auto"/>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w:t>
            </w:r>
          </w:p>
        </w:tc>
        <w:tc>
          <w:tcPr>
            <w:tcW w:w="116" w:type="pct"/>
            <w:tcBorders>
              <w:top w:val="nil"/>
              <w:left w:val="nil"/>
              <w:bottom w:val="single" w:sz="8" w:space="0" w:color="auto"/>
              <w:right w:val="single" w:sz="8"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99</w:t>
            </w:r>
          </w:p>
        </w:tc>
        <w:tc>
          <w:tcPr>
            <w:tcW w:w="636" w:type="pct"/>
            <w:tcBorders>
              <w:top w:val="single" w:sz="4" w:space="0" w:color="auto"/>
              <w:left w:val="nil"/>
              <w:bottom w:val="single" w:sz="4" w:space="0" w:color="auto"/>
              <w:right w:val="nil"/>
            </w:tcBorders>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Other types of income</w:t>
            </w:r>
          </w:p>
        </w:tc>
        <w:tc>
          <w:tcPr>
            <w:tcW w:w="302" w:type="pct"/>
            <w:tcBorders>
              <w:top w:val="nil"/>
              <w:left w:val="nil"/>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1.268.392,13</w:t>
            </w:r>
          </w:p>
        </w:tc>
        <w:tc>
          <w:tcPr>
            <w:tcW w:w="302"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1.854.000,00</w:t>
            </w:r>
          </w:p>
        </w:tc>
        <w:tc>
          <w:tcPr>
            <w:tcW w:w="302" w:type="pct"/>
            <w:tcBorders>
              <w:top w:val="nil"/>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4.233.922,92</w:t>
            </w:r>
          </w:p>
        </w:tc>
      </w:tr>
      <w:tr w:rsidR="00FE7FEB" w:rsidRPr="00947D59" w:rsidTr="00D816E6">
        <w:trPr>
          <w:trHeight w:val="325"/>
        </w:trPr>
        <w:tc>
          <w:tcPr>
            <w:tcW w:w="844" w:type="pct"/>
            <w:noWrap/>
            <w:vAlign w:val="bottom"/>
            <w:hideMark/>
          </w:tcPr>
          <w:p w:rsidR="00FE7FEB" w:rsidRPr="00947D59" w:rsidRDefault="00FE7FEB" w:rsidP="00D816E6">
            <w:pPr>
              <w:rPr>
                <w:rFonts w:eastAsia="Times New Roman" w:cstheme="minorHAnsi"/>
                <w:b/>
                <w:bCs/>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1456" w:type="pct"/>
            <w:gridSpan w:val="6"/>
            <w:tcBorders>
              <w:top w:val="single" w:sz="8" w:space="0" w:color="auto"/>
              <w:left w:val="single" w:sz="8" w:space="0" w:color="auto"/>
              <w:bottom w:val="single" w:sz="8" w:space="0" w:color="auto"/>
              <w:right w:val="nil"/>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TOTAL DISCOUNTS AND RETURNS</w:t>
            </w:r>
            <w:r w:rsidRPr="00947D59">
              <w:rPr>
                <w:rFonts w:cstheme="minorHAnsi"/>
              </w:rPr>
              <w:t xml:space="preserve"> </w:t>
            </w:r>
            <w:r w:rsidRPr="00947D59">
              <w:rPr>
                <w:rFonts w:eastAsia="Times New Roman" w:cstheme="minorHAnsi"/>
                <w:b/>
                <w:bCs/>
                <w:lang w:eastAsia="tr-TR"/>
              </w:rPr>
              <w:t xml:space="preserve"> ( C)</w:t>
            </w:r>
          </w:p>
        </w:tc>
        <w:tc>
          <w:tcPr>
            <w:tcW w:w="302"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2.070.513,70</w:t>
            </w:r>
          </w:p>
        </w:tc>
        <w:tc>
          <w:tcPr>
            <w:tcW w:w="302" w:type="pct"/>
            <w:tcBorders>
              <w:top w:val="nil"/>
              <w:left w:val="nil"/>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2.892.755,66</w:t>
            </w:r>
          </w:p>
        </w:tc>
        <w:tc>
          <w:tcPr>
            <w:tcW w:w="302" w:type="pct"/>
            <w:tcBorders>
              <w:top w:val="nil"/>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6.348.260,71</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36"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r>
      <w:tr w:rsidR="00FE7FEB" w:rsidRPr="00947D59" w:rsidTr="00D816E6">
        <w:trPr>
          <w:trHeight w:val="20"/>
        </w:trPr>
        <w:tc>
          <w:tcPr>
            <w:tcW w:w="844"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1456" w:type="pct"/>
            <w:gridSpan w:val="6"/>
            <w:tcBorders>
              <w:top w:val="single" w:sz="8" w:space="0" w:color="auto"/>
              <w:left w:val="single" w:sz="8" w:space="0" w:color="auto"/>
              <w:bottom w:val="single" w:sz="8" w:space="0" w:color="auto"/>
              <w:right w:val="single" w:sz="8" w:space="0" w:color="000000"/>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NET INCOME (D)=(B - C)</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263.162.433,13</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283.461.700,31</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309.960.307,23</w:t>
            </w:r>
          </w:p>
        </w:tc>
      </w:tr>
      <w:tr w:rsidR="00FE7FEB" w:rsidRPr="00947D59" w:rsidTr="00D816E6">
        <w:trPr>
          <w:trHeight w:val="20"/>
        </w:trPr>
        <w:tc>
          <w:tcPr>
            <w:tcW w:w="844" w:type="pct"/>
            <w:noWrap/>
            <w:vAlign w:val="bottom"/>
            <w:hideMark/>
          </w:tcPr>
          <w:p w:rsidR="00FE7FEB" w:rsidRPr="00947D59" w:rsidRDefault="00FE7FEB" w:rsidP="00D816E6">
            <w:pPr>
              <w:rPr>
                <w:rFonts w:eastAsia="Times New Roman" w:cstheme="minorHAnsi"/>
                <w:b/>
                <w:bCs/>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2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5" w:type="pct"/>
            <w:noWrap/>
            <w:vAlign w:val="bottom"/>
            <w:hideMark/>
          </w:tcPr>
          <w:p w:rsidR="00FE7FEB" w:rsidRPr="00947D59" w:rsidRDefault="00FE7FEB" w:rsidP="00D816E6">
            <w:pPr>
              <w:spacing w:after="0"/>
              <w:rPr>
                <w:rFonts w:cstheme="minorHAnsi"/>
                <w:lang w:eastAsia="tr-TR"/>
              </w:rPr>
            </w:pPr>
          </w:p>
        </w:tc>
        <w:tc>
          <w:tcPr>
            <w:tcW w:w="357"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116" w:type="pct"/>
            <w:noWrap/>
            <w:vAlign w:val="bottom"/>
            <w:hideMark/>
          </w:tcPr>
          <w:p w:rsidR="00FE7FEB" w:rsidRPr="00947D59" w:rsidRDefault="00FE7FEB" w:rsidP="00D816E6">
            <w:pPr>
              <w:spacing w:after="0"/>
              <w:rPr>
                <w:rFonts w:cstheme="minorHAnsi"/>
                <w:lang w:eastAsia="tr-TR"/>
              </w:rPr>
            </w:pPr>
          </w:p>
        </w:tc>
        <w:tc>
          <w:tcPr>
            <w:tcW w:w="636"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c>
          <w:tcPr>
            <w:tcW w:w="302" w:type="pct"/>
            <w:noWrap/>
            <w:vAlign w:val="bottom"/>
            <w:hideMark/>
          </w:tcPr>
          <w:p w:rsidR="00FE7FEB" w:rsidRPr="00947D59" w:rsidRDefault="00FE7FEB" w:rsidP="00D816E6">
            <w:pPr>
              <w:spacing w:after="0"/>
              <w:rPr>
                <w:rFonts w:cstheme="minorHAnsi"/>
                <w:lang w:eastAsia="tr-TR"/>
              </w:rPr>
            </w:pPr>
          </w:p>
        </w:tc>
      </w:tr>
      <w:tr w:rsidR="00FE7FEB" w:rsidRPr="00947D59" w:rsidTr="00D816E6">
        <w:trPr>
          <w:trHeight w:val="20"/>
        </w:trPr>
        <w:tc>
          <w:tcPr>
            <w:tcW w:w="1697" w:type="pct"/>
            <w:gridSpan w:val="4"/>
            <w:tcBorders>
              <w:top w:val="single" w:sz="8" w:space="0" w:color="auto"/>
              <w:left w:val="single" w:sz="8" w:space="0" w:color="auto"/>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TOTAL EXPENSES (A)</w:t>
            </w:r>
          </w:p>
        </w:tc>
        <w:tc>
          <w:tcPr>
            <w:tcW w:w="302" w:type="pct"/>
            <w:tcBorders>
              <w:top w:val="single" w:sz="8" w:space="0" w:color="auto"/>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236.233.481,12</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222.850.520,02</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264.184.164,59</w:t>
            </w:r>
          </w:p>
        </w:tc>
        <w:tc>
          <w:tcPr>
            <w:tcW w:w="35" w:type="pct"/>
            <w:noWrap/>
            <w:vAlign w:val="bottom"/>
            <w:hideMark/>
          </w:tcPr>
          <w:p w:rsidR="00FE7FEB" w:rsidRPr="00947D59" w:rsidRDefault="00FE7FEB" w:rsidP="00D816E6">
            <w:pPr>
              <w:rPr>
                <w:rFonts w:eastAsia="Times New Roman" w:cstheme="minorHAnsi"/>
                <w:b/>
                <w:bCs/>
                <w:lang w:eastAsia="tr-TR"/>
              </w:rPr>
            </w:pPr>
          </w:p>
        </w:tc>
        <w:tc>
          <w:tcPr>
            <w:tcW w:w="1456" w:type="pct"/>
            <w:gridSpan w:val="6"/>
            <w:tcBorders>
              <w:top w:val="single" w:sz="8" w:space="0" w:color="auto"/>
              <w:left w:val="single" w:sz="8" w:space="0" w:color="auto"/>
              <w:bottom w:val="single" w:sz="8" w:space="0" w:color="auto"/>
              <w:right w:val="nil"/>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RESULT OF ACTIVITY</w:t>
            </w:r>
            <w:r w:rsidRPr="00947D59">
              <w:rPr>
                <w:rFonts w:eastAsia="Times New Roman" w:cstheme="minorHAnsi"/>
                <w:b/>
                <w:bCs/>
                <w:lang w:eastAsia="tr-TR"/>
              </w:rPr>
              <w:t xml:space="preserve"> (D-A) (+/-)</w:t>
            </w:r>
          </w:p>
        </w:tc>
        <w:tc>
          <w:tcPr>
            <w:tcW w:w="302" w:type="pct"/>
            <w:tcBorders>
              <w:top w:val="single" w:sz="8" w:space="0" w:color="auto"/>
              <w:left w:val="single" w:sz="8" w:space="0" w:color="auto"/>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26.928.952,01</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60.611.180,29</w:t>
            </w:r>
          </w:p>
        </w:tc>
        <w:tc>
          <w:tcPr>
            <w:tcW w:w="302" w:type="pct"/>
            <w:tcBorders>
              <w:top w:val="single" w:sz="8" w:space="0" w:color="auto"/>
              <w:left w:val="nil"/>
              <w:bottom w:val="single" w:sz="8" w:space="0" w:color="auto"/>
              <w:right w:val="single" w:sz="8"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45.776.142,64</w:t>
            </w:r>
          </w:p>
        </w:tc>
      </w:tr>
    </w:tbl>
    <w:p w:rsidR="00FE7FEB" w:rsidRPr="00947D59" w:rsidRDefault="00FE7FEB" w:rsidP="00FE7FEB">
      <w:pPr>
        <w:rPr>
          <w:rFonts w:cstheme="minorHAnsi"/>
        </w:rPr>
      </w:pPr>
    </w:p>
    <w:p w:rsidR="00FE7FEB" w:rsidRPr="00947D59" w:rsidRDefault="00FE7FEB" w:rsidP="00FE7FEB">
      <w:pPr>
        <w:rPr>
          <w:rFonts w:cstheme="minorHAnsi"/>
          <w:b/>
          <w:bCs/>
        </w:rPr>
      </w:pPr>
      <w:r w:rsidRPr="00947D59">
        <w:rPr>
          <w:rFonts w:cstheme="minorHAnsi"/>
        </w:rPr>
        <w:t xml:space="preserve">                              </w:t>
      </w:r>
      <w:r w:rsidRPr="00947D59">
        <w:rPr>
          <w:rFonts w:cstheme="minorHAnsi"/>
        </w:rPr>
        <w:tab/>
      </w:r>
      <w:r w:rsidRPr="00947D59">
        <w:rPr>
          <w:rFonts w:cstheme="minorHAnsi"/>
        </w:rPr>
        <w:tab/>
      </w:r>
      <w:r w:rsidRPr="00947D59">
        <w:rPr>
          <w:rFonts w:cstheme="minorHAnsi"/>
        </w:rPr>
        <w:tab/>
      </w:r>
      <w:r w:rsidRPr="00947D59">
        <w:rPr>
          <w:rFonts w:cstheme="minorHAnsi"/>
        </w:rPr>
        <w:tab/>
      </w:r>
      <w:r w:rsidRPr="00947D59">
        <w:rPr>
          <w:rFonts w:cstheme="minorHAnsi"/>
        </w:rPr>
        <w:tab/>
      </w:r>
      <w:r w:rsidRPr="00947D59">
        <w:rPr>
          <w:rFonts w:cstheme="minorHAnsi"/>
        </w:rPr>
        <w:tab/>
      </w:r>
      <w:r w:rsidRPr="00947D59">
        <w:rPr>
          <w:rFonts w:cstheme="minorHAnsi"/>
        </w:rPr>
        <w:tab/>
      </w:r>
      <w:r w:rsidRPr="00947D59">
        <w:rPr>
          <w:rFonts w:cstheme="minorHAnsi"/>
        </w:rPr>
        <w:tab/>
      </w:r>
      <w:r w:rsidRPr="00947D59">
        <w:rPr>
          <w:rFonts w:cstheme="minorHAnsi"/>
          <w:b/>
          <w:bCs/>
        </w:rPr>
        <w:t xml:space="preserve">     Energy Market Regulatory Authority Balance Sheet 2017</w:t>
      </w:r>
    </w:p>
    <w:tbl>
      <w:tblPr>
        <w:tblW w:w="5000" w:type="pct"/>
        <w:tblCellMar>
          <w:left w:w="70" w:type="dxa"/>
          <w:right w:w="70" w:type="dxa"/>
        </w:tblCellMar>
        <w:tblLook w:val="04A0" w:firstRow="1" w:lastRow="0" w:firstColumn="1" w:lastColumn="0" w:noHBand="0" w:noVBand="1"/>
      </w:tblPr>
      <w:tblGrid>
        <w:gridCol w:w="735"/>
        <w:gridCol w:w="1439"/>
        <w:gridCol w:w="1269"/>
        <w:gridCol w:w="488"/>
        <w:gridCol w:w="488"/>
        <w:gridCol w:w="488"/>
        <w:gridCol w:w="947"/>
        <w:gridCol w:w="1100"/>
        <w:gridCol w:w="1128"/>
        <w:gridCol w:w="488"/>
        <w:gridCol w:w="488"/>
        <w:gridCol w:w="488"/>
      </w:tblGrid>
      <w:tr w:rsidR="00FE7FEB" w:rsidRPr="00947D59" w:rsidTr="00D816E6">
        <w:trPr>
          <w:trHeight w:val="20"/>
        </w:trPr>
        <w:tc>
          <w:tcPr>
            <w:tcW w:w="476" w:type="pct"/>
            <w:tcBorders>
              <w:top w:val="single" w:sz="4" w:space="0" w:color="auto"/>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ASSETS</w:t>
            </w:r>
          </w:p>
        </w:tc>
        <w:tc>
          <w:tcPr>
            <w:tcW w:w="624" w:type="pct"/>
            <w:tcBorders>
              <w:top w:val="single" w:sz="4" w:space="0" w:color="auto"/>
              <w:left w:val="nil"/>
              <w:bottom w:val="single" w:sz="4" w:space="0" w:color="auto"/>
              <w:right w:val="single" w:sz="4"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 </w:t>
            </w:r>
          </w:p>
        </w:tc>
        <w:tc>
          <w:tcPr>
            <w:tcW w:w="524" w:type="pct"/>
            <w:tcBorders>
              <w:top w:val="single" w:sz="4" w:space="0" w:color="auto"/>
              <w:left w:val="nil"/>
              <w:bottom w:val="single" w:sz="4" w:space="0" w:color="auto"/>
              <w:right w:val="single" w:sz="4"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 </w:t>
            </w:r>
          </w:p>
        </w:tc>
        <w:tc>
          <w:tcPr>
            <w:tcW w:w="275" w:type="pct"/>
            <w:tcBorders>
              <w:top w:val="single" w:sz="4" w:space="0" w:color="auto"/>
              <w:left w:val="nil"/>
              <w:bottom w:val="single" w:sz="4" w:space="0" w:color="auto"/>
              <w:right w:val="single" w:sz="4"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 </w:t>
            </w:r>
          </w:p>
        </w:tc>
        <w:tc>
          <w:tcPr>
            <w:tcW w:w="1690" w:type="pct"/>
            <w:gridSpan w:val="4"/>
            <w:tcBorders>
              <w:top w:val="single" w:sz="4" w:space="0" w:color="auto"/>
              <w:left w:val="nil"/>
              <w:bottom w:val="single" w:sz="4" w:space="0" w:color="auto"/>
              <w:right w:val="single" w:sz="4" w:space="0" w:color="auto"/>
            </w:tcBorders>
            <w:noWrap/>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lang w:eastAsia="tr-TR"/>
              </w:rPr>
              <w:t> </w:t>
            </w:r>
          </w:p>
        </w:tc>
        <w:tc>
          <w:tcPr>
            <w:tcW w:w="580" w:type="pct"/>
            <w:tcBorders>
              <w:top w:val="single" w:sz="4" w:space="0" w:color="auto"/>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single" w:sz="4" w:space="0" w:color="auto"/>
              <w:left w:val="nil"/>
              <w:bottom w:val="single" w:sz="4" w:space="0" w:color="auto"/>
              <w:right w:val="single" w:sz="4"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 </w:t>
            </w:r>
          </w:p>
        </w:tc>
        <w:tc>
          <w:tcPr>
            <w:tcW w:w="275" w:type="pct"/>
            <w:tcBorders>
              <w:top w:val="single" w:sz="4" w:space="0" w:color="auto"/>
              <w:left w:val="nil"/>
              <w:bottom w:val="single" w:sz="4" w:space="0" w:color="auto"/>
              <w:right w:val="single" w:sz="4"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 </w:t>
            </w:r>
          </w:p>
        </w:tc>
        <w:tc>
          <w:tcPr>
            <w:tcW w:w="280" w:type="pct"/>
            <w:tcBorders>
              <w:top w:val="single" w:sz="4" w:space="0" w:color="auto"/>
              <w:left w:val="nil"/>
              <w:bottom w:val="single" w:sz="4" w:space="0" w:color="auto"/>
              <w:right w:val="single" w:sz="4" w:space="0" w:color="auto"/>
            </w:tcBorders>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LIABILITIES   (TL)</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624"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 </w:t>
            </w:r>
          </w:p>
        </w:tc>
        <w:tc>
          <w:tcPr>
            <w:tcW w:w="524"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31.12.2016</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31.12.2017</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31.12.2018</w:t>
            </w:r>
          </w:p>
        </w:tc>
        <w:tc>
          <w:tcPr>
            <w:tcW w:w="570"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lang w:eastAsia="tr-TR"/>
              </w:rPr>
              <w:t> </w:t>
            </w:r>
          </w:p>
        </w:tc>
        <w:tc>
          <w:tcPr>
            <w:tcW w:w="570"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right"/>
              <w:rPr>
                <w:rFonts w:eastAsia="Times New Roman" w:cstheme="minorHAnsi"/>
                <w:b/>
                <w:bCs/>
                <w:lang w:eastAsia="tr-TR"/>
              </w:rPr>
            </w:pPr>
            <w:r w:rsidRPr="00947D59">
              <w:rPr>
                <w:rFonts w:eastAsia="Times New Roman" w:cstheme="minorHAnsi"/>
                <w:b/>
                <w:bCs/>
                <w:lang w:eastAsia="tr-TR"/>
              </w:rPr>
              <w:t> </w:t>
            </w:r>
          </w:p>
        </w:tc>
        <w:tc>
          <w:tcPr>
            <w:tcW w:w="580"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31.12.2016</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31.12.2017</w:t>
            </w:r>
          </w:p>
        </w:tc>
        <w:tc>
          <w:tcPr>
            <w:tcW w:w="280"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jc w:val="center"/>
              <w:rPr>
                <w:rFonts w:eastAsia="Times New Roman" w:cstheme="minorHAnsi"/>
                <w:b/>
                <w:bCs/>
                <w:lang w:eastAsia="tr-TR"/>
              </w:rPr>
            </w:pPr>
            <w:r w:rsidRPr="00947D59">
              <w:rPr>
                <w:rFonts w:eastAsia="Times New Roman" w:cstheme="minorHAnsi"/>
                <w:b/>
                <w:bCs/>
                <w:lang w:eastAsia="tr-TR"/>
              </w:rPr>
              <w:t>31.12.2018</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I-REVOLVING   ASSETS</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80.941.243,33</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67.572.006,12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86.298.986,89</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I-SHORT TERM LIABILITIES</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48.914.843,87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54.261.325,20</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69.138.163,33</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10-READY ASSETS</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76.308.739,92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61.985.820,48</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75.911.830,31</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32-ACTIVITY DEBTS</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2.512.692,47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1.740.106,82</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1.358.586,29</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102-Bank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76.308.739,92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61.985.820,48</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75.911.830,31</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320-Budget Deposit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2.512.692,47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1.740.106,82</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1.358.586,29</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12-ACTIVITY RECEIVABLES</w:t>
            </w:r>
          </w:p>
        </w:tc>
        <w:tc>
          <w:tcPr>
            <w:tcW w:w="5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3.682.483,33</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4.946.774,40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9.754.634,25</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33-DEPOSIT FOREIGN ASSETS</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15.275.344,86</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16.558.348,63</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16.064.395,93</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120-</w:t>
            </w:r>
            <w:r w:rsidRPr="00947D59">
              <w:rPr>
                <w:rFonts w:cstheme="minorHAnsi"/>
              </w:rPr>
              <w:t>Receivables from income account.</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3.655.584,50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4.946.774,40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6.204.633,10</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330-</w:t>
            </w:r>
            <w:r w:rsidRPr="00947D59">
              <w:rPr>
                <w:rFonts w:cstheme="minorHAnsi"/>
              </w:rPr>
              <w:t>Deposits and Guarantees Taken</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596.487,24</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1.947.111,24</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1.059.229,24</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126-</w:t>
            </w:r>
            <w:r w:rsidRPr="00947D59">
              <w:rPr>
                <w:rFonts w:cstheme="minorHAnsi"/>
              </w:rPr>
              <w:t>Granted Deposits and Indemnities</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26.898,83</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333-</w:t>
            </w:r>
            <w:r w:rsidRPr="00947D59">
              <w:rPr>
                <w:rFonts w:cstheme="minorHAnsi"/>
              </w:rPr>
              <w:t>Deposit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14.678.857,62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14.611.237,39</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15.005.166,69</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121-Non-Performing Receivables</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3.550.001,15</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36-OTHER LIABILITIES PAYABLE</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31.126.806,54</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35.962.869,75</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51.715.181,11</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14-OTHER RECEIVABLES</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930.530,16</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596.678,66</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630.342,33</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360-</w:t>
            </w:r>
            <w:r w:rsidRPr="00947D59">
              <w:rPr>
                <w:rFonts w:cstheme="minorHAnsi"/>
              </w:rPr>
              <w:t>Taxes and Funds Payable</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1.607.829,67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1.805.557,37</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2.110.203,34</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140-Receivables from persons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930.530,16</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596.678,66</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630.342,33</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361-</w:t>
            </w:r>
            <w:r w:rsidRPr="00947D59">
              <w:rPr>
                <w:rFonts w:cstheme="minorHAnsi"/>
              </w:rPr>
              <w:t>Social Security Dedeuctions Payable</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15-STOCKS ACCOUNT</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363-</w:t>
            </w:r>
            <w:r w:rsidRPr="00947D59">
              <w:rPr>
                <w:rFonts w:cstheme="minorHAnsi"/>
              </w:rPr>
              <w:t>Public Institutions Shares Account</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29.518.976,87</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34.157.312,38</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49.604.977,77</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150-</w:t>
            </w:r>
            <w:r w:rsidRPr="00947D59">
              <w:rPr>
                <w:rFonts w:cstheme="minorHAnsi"/>
              </w:rPr>
              <w:t>Raw materials and supplies</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II-LONG-TERM FOREIGN ASSETS</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4.130.422,25</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1.074.000,00</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16-EXTRA_BUDGETORY ADVANCES AND CREDITS ACCOUNT</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2.180,00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2.180,00</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43-OTHER DEBTS</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1.074.000,00</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160-</w:t>
            </w:r>
            <w:r w:rsidRPr="00947D59">
              <w:rPr>
                <w:rFonts w:cstheme="minorHAnsi"/>
              </w:rPr>
              <w:t>Business advance payment and credits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2.180,00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2.180,00</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430-</w:t>
            </w:r>
            <w:r w:rsidRPr="00947D59">
              <w:rPr>
                <w:rFonts w:cstheme="minorHAnsi"/>
              </w:rPr>
              <w:t xml:space="preserve"> </w:t>
            </w:r>
            <w:r w:rsidRPr="00947D59">
              <w:rPr>
                <w:rFonts w:eastAsia="Times New Roman" w:cstheme="minorHAnsi"/>
                <w:lang w:eastAsia="tr-TR"/>
              </w:rPr>
              <w:t>Deposits and Guarantees Received</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1.074.000,00</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162-</w:t>
            </w:r>
            <w:r w:rsidRPr="00947D59">
              <w:rPr>
                <w:rFonts w:cstheme="minorHAnsi"/>
              </w:rPr>
              <w:t>Out of budget advance payment and credits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47-PROVISIONS FOR LIABILITIES AND EXPENSES</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4.130.422,25</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18-</w:t>
            </w:r>
            <w:r w:rsidRPr="00947D59">
              <w:rPr>
                <w:rFonts w:cstheme="minorHAnsi"/>
                <w:b/>
                <w:bCs/>
              </w:rPr>
              <w:t>INCOME AND EXPENDITURE FORECASTS FOR NEXT MONTHS.</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19.489,92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40.552,58</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472-</w:t>
            </w:r>
            <w:r w:rsidRPr="00947D59">
              <w:rPr>
                <w:rFonts w:cstheme="minorHAnsi"/>
              </w:rPr>
              <w:t xml:space="preserve"> Allowance for Retirement Pay</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4.130.422,25</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181-</w:t>
            </w:r>
            <w:r w:rsidRPr="00947D59">
              <w:rPr>
                <w:rFonts w:cstheme="minorHAnsi"/>
              </w:rPr>
              <w:t xml:space="preserve"> Revenue Accruals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19.489,92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40.552,58</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III-EQUITIES</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187.776.399,46</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244.257.157,50</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294.163.722,39</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II-FIXED ASSETS</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155.750.000,00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235.076.898,83</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278.076.898,83</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50-NET VALUE</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-4.130.422,25</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22-</w:t>
            </w:r>
            <w:r w:rsidRPr="00947D59">
              <w:rPr>
                <w:rFonts w:cstheme="minorHAnsi"/>
                <w:b/>
                <w:bCs/>
              </w:rPr>
              <w:t>ACTIVITY RECEIVABLES</w:t>
            </w:r>
          </w:p>
        </w:tc>
        <w:tc>
          <w:tcPr>
            <w:tcW w:w="5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26.898,83</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26.898,83</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500-</w:t>
            </w:r>
            <w:r w:rsidRPr="00947D59">
              <w:rPr>
                <w:rFonts w:cstheme="minorHAnsi"/>
              </w:rPr>
              <w:t xml:space="preserve"> Net Value Account</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-4.130.422,25</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226-</w:t>
            </w:r>
            <w:r w:rsidRPr="00947D59">
              <w:rPr>
                <w:rFonts w:cstheme="minorHAnsi"/>
              </w:rPr>
              <w:t xml:space="preserve"> Deposits and Guarantees Given</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26.898,83</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26.898,83</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57</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cstheme="minorHAnsi"/>
                <w:b/>
                <w:bCs/>
              </w:rPr>
              <w:t>RECENT YEARS POSITIVE ACTIVITY RESULTS.</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160.847.447,45</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187.776.399,46</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248.387.579,75</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25-</w:t>
            </w:r>
            <w:r w:rsidRPr="00947D59">
              <w:rPr>
                <w:rFonts w:cstheme="minorHAnsi"/>
                <w:b/>
                <w:bCs/>
              </w:rPr>
              <w:t>TANGIBLE ASSETS</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155.750.000,00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235.050.000,00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278.050.000,00</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570-</w:t>
            </w:r>
            <w:r w:rsidRPr="00947D59">
              <w:rPr>
                <w:rFonts w:cstheme="minorHAnsi"/>
              </w:rPr>
              <w:t xml:space="preserve"> Recent years positive activity results</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160.847.447,45</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187.776.399,46</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248.387.579,75</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250-</w:t>
            </w:r>
            <w:r w:rsidRPr="00947D59">
              <w:rPr>
                <w:rFonts w:cstheme="minorHAnsi"/>
              </w:rPr>
              <w:t>Land and Parcels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96.310.000,00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96.310.000,00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96.310.000,00</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59-</w:t>
            </w:r>
            <w:r w:rsidRPr="00947D59">
              <w:rPr>
                <w:rFonts w:cstheme="minorHAnsi"/>
                <w:b/>
                <w:bCs/>
              </w:rPr>
              <w:t>PERIOD ACTIVITY RESULTS</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26.928.952,01</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60.611.180,29</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45.776.142,64</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252-</w:t>
            </w:r>
            <w:r w:rsidRPr="00947D59">
              <w:rPr>
                <w:rFonts w:cstheme="minorHAnsi"/>
              </w:rPr>
              <w:t>Buildings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14.915.698,80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14.915.698,80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14.915.698,80</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590-</w:t>
            </w:r>
            <w:r w:rsidRPr="00947D59">
              <w:rPr>
                <w:rFonts w:cstheme="minorHAnsi"/>
              </w:rPr>
              <w:t xml:space="preserve"> End of period positive active results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26.928.952,01</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60.611.180,29</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45.776.142,64</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253-</w:t>
            </w:r>
            <w:r w:rsidRPr="00947D59">
              <w:rPr>
                <w:rFonts w:cstheme="minorHAnsi"/>
              </w:rPr>
              <w:t>Facility, machine and equipment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285.458,65</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301.694,31</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2.837.364,45</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254-</w:t>
            </w:r>
            <w:r w:rsidRPr="00947D59">
              <w:rPr>
                <w:rFonts w:cstheme="minorHAnsi"/>
              </w:rPr>
              <w:t>Vehicles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255-</w:t>
            </w:r>
            <w:r w:rsidRPr="00947D59">
              <w:rPr>
                <w:rFonts w:cstheme="minorHAnsi"/>
              </w:rPr>
              <w:t>Fixtures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13.512.187,97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14.888.996,96</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16.240.991,04</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257-</w:t>
            </w:r>
            <w:r w:rsidRPr="00947D59">
              <w:rPr>
                <w:rFonts w:cstheme="minorHAnsi"/>
              </w:rPr>
              <w:t>Accumulated Amortizations Account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-28.713.345,42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-30.106.390,07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-33.994.054,29</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258-</w:t>
            </w:r>
            <w:r w:rsidRPr="00947D59">
              <w:rPr>
                <w:rFonts w:cstheme="minorHAnsi"/>
              </w:rPr>
              <w:t>Investments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31.516.361,93</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91.160.193,45</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132.214.727,53</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259-</w:t>
            </w:r>
            <w:r w:rsidRPr="00947D59">
              <w:rPr>
                <w:rFonts w:cstheme="minorHAnsi"/>
              </w:rPr>
              <w:t>Investments Advance Payments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27.923.638,07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47.579.806,55</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49.525.272,47</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26-</w:t>
            </w:r>
            <w:r w:rsidRPr="00947D59">
              <w:rPr>
                <w:rFonts w:cstheme="minorHAnsi"/>
                <w:b/>
                <w:bCs/>
              </w:rPr>
              <w:t>INTANGIBLE ASSETS</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0,00</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260-</w:t>
            </w:r>
            <w:r w:rsidRPr="00947D59">
              <w:rPr>
                <w:rFonts w:cstheme="minorHAnsi"/>
              </w:rPr>
              <w:t xml:space="preserve"> Rights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4.400.553,83</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4.996.917,57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6.580.379,63</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6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268-</w:t>
            </w:r>
            <w:r w:rsidRPr="00947D59">
              <w:rPr>
                <w:rFonts w:cstheme="minorHAnsi"/>
              </w:rPr>
              <w:t xml:space="preserve"> Accumulated Amortizations Account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-4.400.553,83</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-4.996.917,57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-6.580.379,63</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w:t>
            </w:r>
            <w:r w:rsidRPr="00947D59">
              <w:rPr>
                <w:rFonts w:cstheme="minorHAnsi"/>
                <w:b/>
                <w:bCs/>
              </w:rPr>
              <w:t>TOTAL ACTIVE</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color w:val="800000"/>
                <w:lang w:eastAsia="tr-TR"/>
              </w:rPr>
            </w:pPr>
            <w:r w:rsidRPr="00947D59">
              <w:rPr>
                <w:rFonts w:eastAsia="Times New Roman" w:cstheme="minorHAnsi"/>
                <w:b/>
                <w:bCs/>
                <w:color w:val="800000"/>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236.691.243,33</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302.648.904,95</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364.375.885,72</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w:t>
            </w:r>
            <w:r w:rsidRPr="00947D59">
              <w:rPr>
                <w:rFonts w:cstheme="minorHAnsi"/>
                <w:b/>
                <w:bCs/>
              </w:rPr>
              <w:t>TOTAL LIABILITIES</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color w:val="800000"/>
                <w:lang w:eastAsia="tr-TR"/>
              </w:rPr>
            </w:pPr>
            <w:r w:rsidRPr="00947D59">
              <w:rPr>
                <w:rFonts w:eastAsia="Times New Roman" w:cstheme="minorHAnsi"/>
                <w:b/>
                <w:bCs/>
                <w:color w:val="800000"/>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color w:val="800000"/>
                <w:lang w:eastAsia="tr-TR"/>
              </w:rPr>
            </w:pPr>
            <w:r w:rsidRPr="00947D59">
              <w:rPr>
                <w:rFonts w:eastAsia="Times New Roman" w:cstheme="minorHAnsi"/>
                <w:b/>
                <w:bCs/>
                <w:color w:val="800000"/>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236.691.243,33</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302.648.904,95</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364.375.885,72</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u w:val="single"/>
                <w:lang w:eastAsia="tr-TR"/>
              </w:rPr>
            </w:pPr>
            <w:r w:rsidRPr="00947D59">
              <w:rPr>
                <w:rFonts w:eastAsia="Times New Roman" w:cstheme="minorHAnsi"/>
                <w:b/>
                <w:bCs/>
                <w:u w:val="single"/>
                <w:lang w:eastAsia="tr-TR"/>
              </w:rPr>
              <w:t xml:space="preserve">  OFF-BALANCE SHEET</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u w:val="single"/>
                <w:lang w:eastAsia="tr-TR"/>
              </w:rPr>
            </w:pPr>
            <w:r w:rsidRPr="00947D59">
              <w:rPr>
                <w:rFonts w:eastAsia="Times New Roman" w:cstheme="minorHAnsi"/>
                <w:b/>
                <w:bCs/>
                <w:u w:val="single"/>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u w:val="single"/>
                <w:lang w:eastAsia="tr-TR"/>
              </w:rPr>
            </w:pPr>
            <w:r w:rsidRPr="00947D59">
              <w:rPr>
                <w:rFonts w:eastAsia="Times New Roman" w:cstheme="minorHAnsi"/>
                <w:b/>
                <w:bCs/>
                <w:u w:val="single"/>
                <w:lang w:eastAsia="tr-TR"/>
              </w:rPr>
              <w:t xml:space="preserve">   OFF-BALANCE SHEET ACCOUNTS</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u w:val="single"/>
                <w:lang w:eastAsia="tr-TR"/>
              </w:rPr>
            </w:pPr>
            <w:r w:rsidRPr="00947D59">
              <w:rPr>
                <w:rFonts w:eastAsia="Times New Roman" w:cstheme="minorHAnsi"/>
                <w:b/>
                <w:bCs/>
                <w:u w:val="single"/>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910-</w:t>
            </w:r>
            <w:r w:rsidRPr="00947D59">
              <w:rPr>
                <w:rFonts w:cstheme="minorHAnsi"/>
              </w:rPr>
              <w:t>Guarantee Letters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3.719.316.081,69</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2.729.452.451,27</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2.250.622.327,62</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911-</w:t>
            </w:r>
            <w:r w:rsidRPr="00947D59">
              <w:rPr>
                <w:rFonts w:cstheme="minorHAnsi"/>
              </w:rPr>
              <w:t xml:space="preserve"> Guarantee letters deposits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3.719.316.081,69</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2.729.452.451,27</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2.250.622.327,62</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u w:val="single"/>
                <w:lang w:eastAsia="tr-TR"/>
              </w:rPr>
            </w:pPr>
            <w:r w:rsidRPr="00947D59">
              <w:rPr>
                <w:rFonts w:eastAsia="Times New Roman" w:cstheme="minorHAnsi"/>
                <w:b/>
                <w:bCs/>
                <w:u w:val="single"/>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920-Expense Commitments Account</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63.703.462,44</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921-Provision for Expense Commitments</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75"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0,00</w:t>
            </w:r>
          </w:p>
        </w:tc>
        <w:tc>
          <w:tcPr>
            <w:tcW w:w="280" w:type="pct"/>
            <w:tcBorders>
              <w:top w:val="nil"/>
              <w:left w:val="nil"/>
              <w:bottom w:val="single" w:sz="4" w:space="0" w:color="auto"/>
              <w:right w:val="single" w:sz="4" w:space="0" w:color="auto"/>
            </w:tcBorders>
            <w:noWrap/>
            <w:vAlign w:val="bottom"/>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63.703.462,44</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u w:val="single"/>
                <w:lang w:eastAsia="tr-TR"/>
              </w:rPr>
            </w:pPr>
            <w:r w:rsidRPr="00947D59">
              <w:rPr>
                <w:rFonts w:eastAsia="Times New Roman" w:cstheme="minorHAnsi"/>
                <w:b/>
                <w:bCs/>
                <w:u w:val="single"/>
                <w:lang w:eastAsia="tr-TR"/>
              </w:rPr>
              <w:t> </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998-</w:t>
            </w:r>
            <w:r w:rsidRPr="00947D59">
              <w:rPr>
                <w:rFonts w:cstheme="minorHAnsi"/>
              </w:rPr>
              <w:t>Other off-balance sheet accounts</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2.791.515.633,02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3.034.566.159,25</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3.291.995.577,03</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999-</w:t>
            </w:r>
            <w:r w:rsidRPr="00947D59">
              <w:rPr>
                <w:rFonts w:cstheme="minorHAnsi"/>
              </w:rPr>
              <w:t>Other off-balance account</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2.791.515.633,02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3.034.566.159,25</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3.291.995.577,03</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w:t>
            </w:r>
            <w:r w:rsidRPr="00947D59">
              <w:rPr>
                <w:rFonts w:cstheme="minorHAnsi"/>
                <w:b/>
                <w:bCs/>
              </w:rPr>
              <w:t>TOTAL OFF-BALANCE SHEET</w:t>
            </w:r>
          </w:p>
        </w:tc>
        <w:tc>
          <w:tcPr>
            <w:tcW w:w="6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24"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6.510.831.714,71</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5.764.018.610,52</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5.606.321.367,09</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w:t>
            </w:r>
            <w:r w:rsidRPr="00947D59">
              <w:rPr>
                <w:rFonts w:cstheme="minorHAnsi"/>
                <w:b/>
                <w:bCs/>
              </w:rPr>
              <w:t>TOTAL OFF-BALANCE SHEET ACCOUNT</w:t>
            </w:r>
          </w:p>
        </w:tc>
        <w:tc>
          <w:tcPr>
            <w:tcW w:w="57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w:t>
            </w:r>
          </w:p>
        </w:tc>
        <w:tc>
          <w:tcPr>
            <w:tcW w:w="5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color w:val="800000"/>
                <w:lang w:eastAsia="tr-TR"/>
              </w:rPr>
            </w:pPr>
            <w:r w:rsidRPr="00947D59">
              <w:rPr>
                <w:rFonts w:eastAsia="Times New Roman" w:cstheme="minorHAnsi"/>
                <w:b/>
                <w:bCs/>
                <w:color w:val="800000"/>
                <w:lang w:eastAsia="tr-TR"/>
              </w:rPr>
              <w:t> </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6.510.831.714,71</w:t>
            </w:r>
          </w:p>
        </w:tc>
        <w:tc>
          <w:tcPr>
            <w:tcW w:w="275"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5.764.018.610,52</w:t>
            </w:r>
          </w:p>
        </w:tc>
        <w:tc>
          <w:tcPr>
            <w:tcW w:w="280" w:type="pct"/>
            <w:tcBorders>
              <w:top w:val="nil"/>
              <w:left w:val="nil"/>
              <w:bottom w:val="single" w:sz="4" w:space="0" w:color="auto"/>
              <w:right w:val="single" w:sz="4" w:space="0" w:color="auto"/>
            </w:tcBorders>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5.606.321.367,09</w:t>
            </w:r>
          </w:p>
        </w:tc>
      </w:tr>
      <w:tr w:rsidR="00FE7FEB" w:rsidRPr="00947D59" w:rsidTr="00D816E6">
        <w:trPr>
          <w:trHeight w:val="20"/>
        </w:trPr>
        <w:tc>
          <w:tcPr>
            <w:tcW w:w="476" w:type="pct"/>
            <w:tcBorders>
              <w:top w:val="nil"/>
              <w:left w:val="single" w:sz="4" w:space="0" w:color="auto"/>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TOTAL</w:t>
            </w:r>
          </w:p>
        </w:tc>
        <w:tc>
          <w:tcPr>
            <w:tcW w:w="624"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color w:val="800000"/>
                <w:lang w:eastAsia="tr-TR"/>
              </w:rPr>
            </w:pPr>
            <w:r w:rsidRPr="00947D59">
              <w:rPr>
                <w:rFonts w:eastAsia="Times New Roman" w:cstheme="minorHAnsi"/>
                <w:b/>
                <w:bCs/>
                <w:color w:val="800000"/>
                <w:lang w:eastAsia="tr-TR"/>
              </w:rPr>
              <w:t> </w:t>
            </w:r>
          </w:p>
        </w:tc>
        <w:tc>
          <w:tcPr>
            <w:tcW w:w="524"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color w:val="800000"/>
                <w:lang w:eastAsia="tr-TR"/>
              </w:rPr>
            </w:pPr>
            <w:r w:rsidRPr="00947D59">
              <w:rPr>
                <w:rFonts w:eastAsia="Times New Roman" w:cstheme="minorHAnsi"/>
                <w:b/>
                <w:bCs/>
                <w:color w:val="800000"/>
                <w:lang w:eastAsia="tr-TR"/>
              </w:rPr>
              <w:t> </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6.747.522.958,04</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6.066.667.515,47</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5.970.697.252,81</w:t>
            </w:r>
          </w:p>
        </w:tc>
        <w:tc>
          <w:tcPr>
            <w:tcW w:w="570"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 xml:space="preserve">   TOTAL</w:t>
            </w:r>
          </w:p>
        </w:tc>
        <w:tc>
          <w:tcPr>
            <w:tcW w:w="570"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580"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lang w:eastAsia="tr-TR"/>
              </w:rPr>
            </w:pPr>
            <w:r w:rsidRPr="00947D59">
              <w:rPr>
                <w:rFonts w:eastAsia="Times New Roman" w:cstheme="minorHAnsi"/>
                <w:lang w:eastAsia="tr-TR"/>
              </w:rPr>
              <w:t> </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6.747.522.958,04</w:t>
            </w:r>
          </w:p>
        </w:tc>
        <w:tc>
          <w:tcPr>
            <w:tcW w:w="275"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6.066.667.515,47</w:t>
            </w:r>
          </w:p>
        </w:tc>
        <w:tc>
          <w:tcPr>
            <w:tcW w:w="280" w:type="pct"/>
            <w:tcBorders>
              <w:top w:val="nil"/>
              <w:left w:val="nil"/>
              <w:bottom w:val="single" w:sz="4" w:space="0" w:color="auto"/>
              <w:right w:val="single" w:sz="4" w:space="0" w:color="auto"/>
            </w:tcBorders>
            <w:shd w:val="clear" w:color="auto" w:fill="F2F2F2"/>
            <w:noWrap/>
            <w:vAlign w:val="center"/>
            <w:hideMark/>
          </w:tcPr>
          <w:p w:rsidR="00FE7FEB" w:rsidRPr="00947D59" w:rsidRDefault="00FE7FEB" w:rsidP="00D816E6">
            <w:pPr>
              <w:spacing w:after="0" w:line="240" w:lineRule="auto"/>
              <w:rPr>
                <w:rFonts w:eastAsia="Times New Roman" w:cstheme="minorHAnsi"/>
                <w:b/>
                <w:bCs/>
                <w:lang w:eastAsia="tr-TR"/>
              </w:rPr>
            </w:pPr>
            <w:r w:rsidRPr="00947D59">
              <w:rPr>
                <w:rFonts w:eastAsia="Times New Roman" w:cstheme="minorHAnsi"/>
                <w:b/>
                <w:bCs/>
                <w:lang w:eastAsia="tr-TR"/>
              </w:rPr>
              <w:t>5.970.697.252,81</w:t>
            </w:r>
          </w:p>
        </w:tc>
      </w:tr>
    </w:tbl>
    <w:p w:rsidR="00FE7FEB" w:rsidRPr="00947D59" w:rsidRDefault="00FE7FEB" w:rsidP="00FE7FEB">
      <w:pPr>
        <w:jc w:val="both"/>
        <w:rPr>
          <w:rFonts w:cstheme="minorHAnsi"/>
          <w:highlight w:val="yellow"/>
        </w:rPr>
      </w:pPr>
    </w:p>
    <w:p w:rsidR="00FE7FEB" w:rsidRPr="00947D59" w:rsidRDefault="00FE7FEB" w:rsidP="00FE7FEB">
      <w:pPr>
        <w:jc w:val="both"/>
        <w:rPr>
          <w:sz w:val="24"/>
          <w:szCs w:val="24"/>
        </w:rPr>
      </w:pPr>
    </w:p>
    <w:p w:rsidR="00FE7FEB" w:rsidRPr="00FE7FEB" w:rsidRDefault="00FE7FEB" w:rsidP="00FE7FEB">
      <w:pPr>
        <w:spacing w:line="240" w:lineRule="auto"/>
        <w:jc w:val="both"/>
        <w:rPr>
          <w:rFonts w:ascii="Calibri" w:hAnsi="Calibri"/>
        </w:rPr>
      </w:pPr>
    </w:p>
    <w:sectPr w:rsidR="00FE7FEB" w:rsidRPr="00FE7FEB" w:rsidSect="005F0CC7">
      <w:footerReference w:type="default" r:id="rId29"/>
      <w:pgSz w:w="12240" w:h="15840"/>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63D" w:rsidRDefault="0025663D" w:rsidP="00F87337">
      <w:pPr>
        <w:spacing w:after="0" w:line="240" w:lineRule="auto"/>
      </w:pPr>
      <w:r>
        <w:separator/>
      </w:r>
    </w:p>
  </w:endnote>
  <w:endnote w:type="continuationSeparator" w:id="0">
    <w:p w:rsidR="0025663D" w:rsidRDefault="0025663D" w:rsidP="00F87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New York">
    <w:panose1 w:val="02040503060506020304"/>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0854180"/>
      <w:docPartObj>
        <w:docPartGallery w:val="Page Numbers (Bottom of Page)"/>
        <w:docPartUnique/>
      </w:docPartObj>
    </w:sdtPr>
    <w:sdtContent>
      <w:p w:rsidR="008C28A7" w:rsidRDefault="008C28A7">
        <w:pPr>
          <w:pStyle w:val="Altbilgi"/>
          <w:jc w:val="center"/>
        </w:pPr>
        <w:r>
          <w:fldChar w:fldCharType="begin"/>
        </w:r>
        <w:r>
          <w:instrText>PAGE   \* MERGEFORMAT</w:instrText>
        </w:r>
        <w:r>
          <w:fldChar w:fldCharType="separate"/>
        </w:r>
        <w:r w:rsidR="00B9432D" w:rsidRPr="00B9432D">
          <w:rPr>
            <w:lang w:val="tr-TR"/>
          </w:rPr>
          <w:t>7</w:t>
        </w:r>
        <w:r>
          <w:fldChar w:fldCharType="end"/>
        </w:r>
      </w:p>
    </w:sdtContent>
  </w:sdt>
  <w:p w:rsidR="008C28A7" w:rsidRDefault="008C28A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2015485"/>
      <w:docPartObj>
        <w:docPartGallery w:val="Page Numbers (Bottom of Page)"/>
        <w:docPartUnique/>
      </w:docPartObj>
    </w:sdtPr>
    <w:sdtContent>
      <w:p w:rsidR="008C28A7" w:rsidRDefault="008C28A7">
        <w:pPr>
          <w:pStyle w:val="Altbilgi"/>
          <w:jc w:val="center"/>
        </w:pPr>
        <w:r>
          <w:fldChar w:fldCharType="begin"/>
        </w:r>
        <w:r>
          <w:instrText>PAGE   \* MERGEFORMAT</w:instrText>
        </w:r>
        <w:r>
          <w:fldChar w:fldCharType="separate"/>
        </w:r>
        <w:r w:rsidR="00B9432D" w:rsidRPr="00B9432D">
          <w:rPr>
            <w:lang w:val="tr-TR"/>
          </w:rPr>
          <w:t>0</w:t>
        </w:r>
        <w:r>
          <w:fldChar w:fldCharType="end"/>
        </w:r>
      </w:p>
    </w:sdtContent>
  </w:sdt>
  <w:p w:rsidR="008C28A7" w:rsidRDefault="008C28A7">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8A7" w:rsidRPr="00E53D55" w:rsidRDefault="008C28A7" w:rsidP="00E53D55">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8A7" w:rsidRPr="001137DC" w:rsidRDefault="008C28A7" w:rsidP="001137D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63D" w:rsidRDefault="0025663D" w:rsidP="00F87337">
      <w:pPr>
        <w:spacing w:after="0" w:line="240" w:lineRule="auto"/>
      </w:pPr>
      <w:r>
        <w:separator/>
      </w:r>
    </w:p>
  </w:footnote>
  <w:footnote w:type="continuationSeparator" w:id="0">
    <w:p w:rsidR="0025663D" w:rsidRDefault="0025663D" w:rsidP="00F873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36976"/>
    <w:multiLevelType w:val="hybridMultilevel"/>
    <w:tmpl w:val="FF24B8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6C019E8"/>
    <w:multiLevelType w:val="hybridMultilevel"/>
    <w:tmpl w:val="FAF4FE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9996549"/>
    <w:multiLevelType w:val="hybridMultilevel"/>
    <w:tmpl w:val="B460741E"/>
    <w:lvl w:ilvl="0" w:tplc="041F0005">
      <w:start w:val="1"/>
      <w:numFmt w:val="bullet"/>
      <w:lvlText w:val=""/>
      <w:lvlJc w:val="left"/>
      <w:pPr>
        <w:ind w:left="1776" w:hanging="360"/>
      </w:pPr>
      <w:rPr>
        <w:rFonts w:ascii="Wingdings" w:hAnsi="Wingdings"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3">
    <w:nsid w:val="11826AF1"/>
    <w:multiLevelType w:val="hybridMultilevel"/>
    <w:tmpl w:val="D02A74B6"/>
    <w:lvl w:ilvl="0" w:tplc="041F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27F487E"/>
    <w:multiLevelType w:val="multilevel"/>
    <w:tmpl w:val="9BFEF8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4763098"/>
    <w:multiLevelType w:val="hybridMultilevel"/>
    <w:tmpl w:val="078E40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79D0AD8"/>
    <w:multiLevelType w:val="hybridMultilevel"/>
    <w:tmpl w:val="85F824C8"/>
    <w:lvl w:ilvl="0" w:tplc="DA44DF2E">
      <w:numFmt w:val="bullet"/>
      <w:lvlText w:val="•"/>
      <w:lvlJc w:val="left"/>
      <w:pPr>
        <w:ind w:left="1440" w:hanging="360"/>
      </w:pPr>
      <w:rPr>
        <w:rFonts w:ascii="Calibri" w:eastAsia="Calibri" w:hAnsi="Calibri" w:cs="Times New Roman"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7A54B8C"/>
    <w:multiLevelType w:val="hybridMultilevel"/>
    <w:tmpl w:val="171038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A76512C"/>
    <w:multiLevelType w:val="hybridMultilevel"/>
    <w:tmpl w:val="4EEC23C4"/>
    <w:lvl w:ilvl="0" w:tplc="F4504F72">
      <w:start w:val="1"/>
      <w:numFmt w:val="decimal"/>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10">
    <w:nsid w:val="1BD60BA8"/>
    <w:multiLevelType w:val="hybridMultilevel"/>
    <w:tmpl w:val="96DC0DDA"/>
    <w:lvl w:ilvl="0" w:tplc="041F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1CAD5B1D"/>
    <w:multiLevelType w:val="hybridMultilevel"/>
    <w:tmpl w:val="6EBEDB06"/>
    <w:lvl w:ilvl="0" w:tplc="5B962504">
      <w:numFmt w:val="bullet"/>
      <w:lvlText w:val="-"/>
      <w:lvlJc w:val="left"/>
      <w:pPr>
        <w:ind w:left="720" w:hanging="360"/>
      </w:pPr>
      <w:rPr>
        <w:rFonts w:ascii="Calibri" w:eastAsia="Calibr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2792E64"/>
    <w:multiLevelType w:val="hybridMultilevel"/>
    <w:tmpl w:val="9D9046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24A626F4"/>
    <w:multiLevelType w:val="hybridMultilevel"/>
    <w:tmpl w:val="317840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25265ED5"/>
    <w:multiLevelType w:val="hybridMultilevel"/>
    <w:tmpl w:val="964EBAFA"/>
    <w:lvl w:ilvl="0" w:tplc="041F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EA40198"/>
    <w:multiLevelType w:val="hybridMultilevel"/>
    <w:tmpl w:val="FA8EBAE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ECD2C7A"/>
    <w:multiLevelType w:val="hybridMultilevel"/>
    <w:tmpl w:val="A34658E8"/>
    <w:lvl w:ilvl="0" w:tplc="041F0005">
      <w:start w:val="1"/>
      <w:numFmt w:val="bullet"/>
      <w:lvlText w:val=""/>
      <w:lvlJc w:val="left"/>
      <w:pPr>
        <w:ind w:left="1671" w:hanging="360"/>
      </w:pPr>
      <w:rPr>
        <w:rFonts w:ascii="Wingdings" w:hAnsi="Wingdings" w:hint="default"/>
      </w:rPr>
    </w:lvl>
    <w:lvl w:ilvl="1" w:tplc="041F0003" w:tentative="1">
      <w:start w:val="1"/>
      <w:numFmt w:val="bullet"/>
      <w:lvlText w:val="o"/>
      <w:lvlJc w:val="left"/>
      <w:pPr>
        <w:ind w:left="2391" w:hanging="360"/>
      </w:pPr>
      <w:rPr>
        <w:rFonts w:ascii="Courier New" w:hAnsi="Courier New" w:cs="Courier New" w:hint="default"/>
      </w:rPr>
    </w:lvl>
    <w:lvl w:ilvl="2" w:tplc="041F0005" w:tentative="1">
      <w:start w:val="1"/>
      <w:numFmt w:val="bullet"/>
      <w:lvlText w:val=""/>
      <w:lvlJc w:val="left"/>
      <w:pPr>
        <w:ind w:left="3111" w:hanging="360"/>
      </w:pPr>
      <w:rPr>
        <w:rFonts w:ascii="Wingdings" w:hAnsi="Wingdings" w:hint="default"/>
      </w:rPr>
    </w:lvl>
    <w:lvl w:ilvl="3" w:tplc="041F0001" w:tentative="1">
      <w:start w:val="1"/>
      <w:numFmt w:val="bullet"/>
      <w:lvlText w:val=""/>
      <w:lvlJc w:val="left"/>
      <w:pPr>
        <w:ind w:left="3831" w:hanging="360"/>
      </w:pPr>
      <w:rPr>
        <w:rFonts w:ascii="Symbol" w:hAnsi="Symbol" w:hint="default"/>
      </w:rPr>
    </w:lvl>
    <w:lvl w:ilvl="4" w:tplc="041F0003" w:tentative="1">
      <w:start w:val="1"/>
      <w:numFmt w:val="bullet"/>
      <w:lvlText w:val="o"/>
      <w:lvlJc w:val="left"/>
      <w:pPr>
        <w:ind w:left="4551" w:hanging="360"/>
      </w:pPr>
      <w:rPr>
        <w:rFonts w:ascii="Courier New" w:hAnsi="Courier New" w:cs="Courier New" w:hint="default"/>
      </w:rPr>
    </w:lvl>
    <w:lvl w:ilvl="5" w:tplc="041F0005" w:tentative="1">
      <w:start w:val="1"/>
      <w:numFmt w:val="bullet"/>
      <w:lvlText w:val=""/>
      <w:lvlJc w:val="left"/>
      <w:pPr>
        <w:ind w:left="5271" w:hanging="360"/>
      </w:pPr>
      <w:rPr>
        <w:rFonts w:ascii="Wingdings" w:hAnsi="Wingdings" w:hint="default"/>
      </w:rPr>
    </w:lvl>
    <w:lvl w:ilvl="6" w:tplc="041F0001" w:tentative="1">
      <w:start w:val="1"/>
      <w:numFmt w:val="bullet"/>
      <w:lvlText w:val=""/>
      <w:lvlJc w:val="left"/>
      <w:pPr>
        <w:ind w:left="5991" w:hanging="360"/>
      </w:pPr>
      <w:rPr>
        <w:rFonts w:ascii="Symbol" w:hAnsi="Symbol" w:hint="default"/>
      </w:rPr>
    </w:lvl>
    <w:lvl w:ilvl="7" w:tplc="041F0003" w:tentative="1">
      <w:start w:val="1"/>
      <w:numFmt w:val="bullet"/>
      <w:lvlText w:val="o"/>
      <w:lvlJc w:val="left"/>
      <w:pPr>
        <w:ind w:left="6711" w:hanging="360"/>
      </w:pPr>
      <w:rPr>
        <w:rFonts w:ascii="Courier New" w:hAnsi="Courier New" w:cs="Courier New" w:hint="default"/>
      </w:rPr>
    </w:lvl>
    <w:lvl w:ilvl="8" w:tplc="041F0005" w:tentative="1">
      <w:start w:val="1"/>
      <w:numFmt w:val="bullet"/>
      <w:lvlText w:val=""/>
      <w:lvlJc w:val="left"/>
      <w:pPr>
        <w:ind w:left="7431" w:hanging="360"/>
      </w:pPr>
      <w:rPr>
        <w:rFonts w:ascii="Wingdings" w:hAnsi="Wingdings" w:hint="default"/>
      </w:rPr>
    </w:lvl>
  </w:abstractNum>
  <w:abstractNum w:abstractNumId="17">
    <w:nsid w:val="30DF1BE1"/>
    <w:multiLevelType w:val="hybridMultilevel"/>
    <w:tmpl w:val="D03AE8D4"/>
    <w:lvl w:ilvl="0" w:tplc="041F0001">
      <w:start w:val="1"/>
      <w:numFmt w:val="bullet"/>
      <w:lvlText w:val=""/>
      <w:lvlJc w:val="left"/>
      <w:pPr>
        <w:ind w:left="720" w:hanging="360"/>
      </w:pPr>
      <w:rPr>
        <w:rFonts w:ascii="Symbol" w:hAnsi="Symbol" w:hint="default"/>
      </w:rPr>
    </w:lvl>
    <w:lvl w:ilvl="1" w:tplc="041F0001">
      <w:start w:val="1"/>
      <w:numFmt w:val="bullet"/>
      <w:lvlText w:val=""/>
      <w:lvlJc w:val="left"/>
      <w:pPr>
        <w:ind w:left="1440" w:hanging="360"/>
      </w:pPr>
      <w:rPr>
        <w:rFonts w:ascii="Symbol" w:hAnsi="Symbol"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32C745B9"/>
    <w:multiLevelType w:val="hybridMultilevel"/>
    <w:tmpl w:val="DC5649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342E792A"/>
    <w:multiLevelType w:val="hybridMultilevel"/>
    <w:tmpl w:val="337EC7A2"/>
    <w:lvl w:ilvl="0" w:tplc="DA44DF2E">
      <w:numFmt w:val="bullet"/>
      <w:lvlText w:val="•"/>
      <w:lvlJc w:val="left"/>
      <w:pPr>
        <w:ind w:left="1440" w:hanging="360"/>
      </w:pPr>
      <w:rPr>
        <w:rFonts w:ascii="Calibri" w:eastAsia="Calibri" w:hAnsi="Calibri" w:cs="Times New Roman"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5680309"/>
    <w:multiLevelType w:val="hybridMultilevel"/>
    <w:tmpl w:val="1092EE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B056153"/>
    <w:multiLevelType w:val="hybridMultilevel"/>
    <w:tmpl w:val="AA1A58F4"/>
    <w:lvl w:ilvl="0" w:tplc="041F0005">
      <w:start w:val="1"/>
      <w:numFmt w:val="bullet"/>
      <w:lvlText w:val=""/>
      <w:lvlJc w:val="left"/>
      <w:pPr>
        <w:ind w:left="2136" w:hanging="360"/>
      </w:pPr>
      <w:rPr>
        <w:rFonts w:ascii="Wingdings" w:hAnsi="Wingdings"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22">
    <w:nsid w:val="3DE2370E"/>
    <w:multiLevelType w:val="hybridMultilevel"/>
    <w:tmpl w:val="8192556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3F166985"/>
    <w:multiLevelType w:val="hybridMultilevel"/>
    <w:tmpl w:val="E3944E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3FC7668B"/>
    <w:multiLevelType w:val="hybridMultilevel"/>
    <w:tmpl w:val="5582E7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41120B05"/>
    <w:multiLevelType w:val="hybridMultilevel"/>
    <w:tmpl w:val="07ACA55A"/>
    <w:lvl w:ilvl="0" w:tplc="041F0001">
      <w:start w:val="1"/>
      <w:numFmt w:val="bullet"/>
      <w:lvlText w:val=""/>
      <w:lvlJc w:val="left"/>
      <w:pPr>
        <w:ind w:left="720" w:hanging="360"/>
      </w:pPr>
      <w:rPr>
        <w:rFonts w:ascii="Symbol" w:hAnsi="Symbol" w:hint="default"/>
      </w:rPr>
    </w:lvl>
    <w:lvl w:ilvl="1" w:tplc="041F0001">
      <w:start w:val="1"/>
      <w:numFmt w:val="bullet"/>
      <w:lvlText w:val=""/>
      <w:lvlJc w:val="left"/>
      <w:pPr>
        <w:ind w:left="1440" w:hanging="360"/>
      </w:pPr>
      <w:rPr>
        <w:rFonts w:ascii="Symbol" w:hAnsi="Symbol"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6">
    <w:nsid w:val="43780548"/>
    <w:multiLevelType w:val="hybridMultilevel"/>
    <w:tmpl w:val="2432F2F2"/>
    <w:lvl w:ilvl="0" w:tplc="476C753C">
      <w:start w:val="1"/>
      <w:numFmt w:val="decimal"/>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27">
    <w:nsid w:val="45E53510"/>
    <w:multiLevelType w:val="hybridMultilevel"/>
    <w:tmpl w:val="D6B0BF52"/>
    <w:lvl w:ilvl="0" w:tplc="041F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46D75A0D"/>
    <w:multiLevelType w:val="hybridMultilevel"/>
    <w:tmpl w:val="D94A87B2"/>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0">
    <w:nsid w:val="52024C07"/>
    <w:multiLevelType w:val="hybridMultilevel"/>
    <w:tmpl w:val="B8D0B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5E930A07"/>
    <w:multiLevelType w:val="hybridMultilevel"/>
    <w:tmpl w:val="2B5E41C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10E1DEB"/>
    <w:multiLevelType w:val="hybridMultilevel"/>
    <w:tmpl w:val="69A413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1D204BB"/>
    <w:multiLevelType w:val="hybridMultilevel"/>
    <w:tmpl w:val="B7363C16"/>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6409674E"/>
    <w:multiLevelType w:val="hybridMultilevel"/>
    <w:tmpl w:val="DC761484"/>
    <w:lvl w:ilvl="0" w:tplc="041F0005">
      <w:start w:val="1"/>
      <w:numFmt w:val="bullet"/>
      <w:lvlText w:val=""/>
      <w:lvlJc w:val="left"/>
      <w:pPr>
        <w:ind w:left="1776" w:hanging="360"/>
      </w:pPr>
      <w:rPr>
        <w:rFonts w:ascii="Wingdings" w:hAnsi="Wingdings"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37">
    <w:nsid w:val="644C78FB"/>
    <w:multiLevelType w:val="hybridMultilevel"/>
    <w:tmpl w:val="27C6379C"/>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65E265AB"/>
    <w:multiLevelType w:val="hybridMultilevel"/>
    <w:tmpl w:val="A7B20516"/>
    <w:lvl w:ilvl="0" w:tplc="041F0005">
      <w:start w:val="1"/>
      <w:numFmt w:val="bullet"/>
      <w:lvlText w:val=""/>
      <w:lvlJc w:val="left"/>
      <w:pPr>
        <w:ind w:left="1485" w:hanging="360"/>
      </w:pPr>
      <w:rPr>
        <w:rFonts w:ascii="Wingdings" w:hAnsi="Wingdings"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39">
    <w:nsid w:val="691E7C06"/>
    <w:multiLevelType w:val="hybridMultilevel"/>
    <w:tmpl w:val="9EA478C2"/>
    <w:lvl w:ilvl="0" w:tplc="DA44DF2E">
      <w:numFmt w:val="bullet"/>
      <w:lvlText w:val="•"/>
      <w:lvlJc w:val="left"/>
      <w:pPr>
        <w:ind w:left="1080" w:hanging="360"/>
      </w:pPr>
      <w:rPr>
        <w:rFonts w:ascii="Calibri" w:eastAsia="Calibri" w:hAnsi="Calibri" w:cs="Times New Roman"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A1B6306"/>
    <w:multiLevelType w:val="hybridMultilevel"/>
    <w:tmpl w:val="5FCEF1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6C1246CA"/>
    <w:multiLevelType w:val="hybridMultilevel"/>
    <w:tmpl w:val="7CEE5818"/>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714C3A94"/>
    <w:multiLevelType w:val="hybridMultilevel"/>
    <w:tmpl w:val="B7AAA78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71AB7069"/>
    <w:multiLevelType w:val="hybridMultilevel"/>
    <w:tmpl w:val="94BA49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71EB1F17"/>
    <w:multiLevelType w:val="hybridMultilevel"/>
    <w:tmpl w:val="13ACFB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731E2370"/>
    <w:multiLevelType w:val="hybridMultilevel"/>
    <w:tmpl w:val="C4B0090E"/>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6">
    <w:nsid w:val="77181F8B"/>
    <w:multiLevelType w:val="hybridMultilevel"/>
    <w:tmpl w:val="889654FA"/>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7">
    <w:nsid w:val="77EF632B"/>
    <w:multiLevelType w:val="hybridMultilevel"/>
    <w:tmpl w:val="7B1EB91E"/>
    <w:lvl w:ilvl="0" w:tplc="041F0005">
      <w:start w:val="1"/>
      <w:numFmt w:val="bullet"/>
      <w:lvlText w:val=""/>
      <w:lvlJc w:val="left"/>
      <w:pPr>
        <w:ind w:left="1776" w:hanging="360"/>
      </w:pPr>
      <w:rPr>
        <w:rFonts w:ascii="Wingdings" w:hAnsi="Wingdings"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48">
    <w:nsid w:val="78E1298A"/>
    <w:multiLevelType w:val="hybridMultilevel"/>
    <w:tmpl w:val="A3348EBE"/>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9">
    <w:nsid w:val="79F87423"/>
    <w:multiLevelType w:val="hybridMultilevel"/>
    <w:tmpl w:val="46381FF6"/>
    <w:lvl w:ilvl="0" w:tplc="041F0005">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0">
    <w:nsid w:val="7A3E7064"/>
    <w:multiLevelType w:val="hybridMultilevel"/>
    <w:tmpl w:val="E0AA5FE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7D1968B3"/>
    <w:multiLevelType w:val="hybridMultilevel"/>
    <w:tmpl w:val="4A32C2E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2">
    <w:nsid w:val="7E5E1E76"/>
    <w:multiLevelType w:val="hybridMultilevel"/>
    <w:tmpl w:val="93C45A3A"/>
    <w:lvl w:ilvl="0" w:tplc="041F0005">
      <w:start w:val="1"/>
      <w:numFmt w:val="bullet"/>
      <w:lvlText w:val=""/>
      <w:lvlJc w:val="left"/>
      <w:pPr>
        <w:ind w:left="2136" w:hanging="360"/>
      </w:pPr>
      <w:rPr>
        <w:rFonts w:ascii="Wingdings" w:hAnsi="Wingdings"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num w:numId="1">
    <w:abstractNumId w:val="28"/>
  </w:num>
  <w:num w:numId="2">
    <w:abstractNumId w:val="25"/>
  </w:num>
  <w:num w:numId="3">
    <w:abstractNumId w:val="20"/>
  </w:num>
  <w:num w:numId="4">
    <w:abstractNumId w:val="14"/>
  </w:num>
  <w:num w:numId="5">
    <w:abstractNumId w:val="27"/>
  </w:num>
  <w:num w:numId="6">
    <w:abstractNumId w:val="7"/>
  </w:num>
  <w:num w:numId="7">
    <w:abstractNumId w:val="19"/>
  </w:num>
  <w:num w:numId="8">
    <w:abstractNumId w:val="10"/>
  </w:num>
  <w:num w:numId="9">
    <w:abstractNumId w:val="39"/>
  </w:num>
  <w:num w:numId="10">
    <w:abstractNumId w:val="3"/>
  </w:num>
  <w:num w:numId="11">
    <w:abstractNumId w:val="44"/>
  </w:num>
  <w:num w:numId="12">
    <w:abstractNumId w:val="1"/>
  </w:num>
  <w:num w:numId="13">
    <w:abstractNumId w:val="8"/>
  </w:num>
  <w:num w:numId="14">
    <w:abstractNumId w:val="48"/>
  </w:num>
  <w:num w:numId="15">
    <w:abstractNumId w:val="49"/>
  </w:num>
  <w:num w:numId="16">
    <w:abstractNumId w:val="0"/>
  </w:num>
  <w:num w:numId="17">
    <w:abstractNumId w:val="13"/>
  </w:num>
  <w:num w:numId="18">
    <w:abstractNumId w:val="22"/>
  </w:num>
  <w:num w:numId="19">
    <w:abstractNumId w:val="6"/>
  </w:num>
  <w:num w:numId="20">
    <w:abstractNumId w:val="11"/>
  </w:num>
  <w:num w:numId="21">
    <w:abstractNumId w:val="24"/>
  </w:num>
  <w:num w:numId="22">
    <w:abstractNumId w:val="31"/>
  </w:num>
  <w:num w:numId="23">
    <w:abstractNumId w:val="51"/>
  </w:num>
  <w:num w:numId="24">
    <w:abstractNumId w:val="43"/>
  </w:num>
  <w:num w:numId="25">
    <w:abstractNumId w:val="50"/>
  </w:num>
  <w:num w:numId="26">
    <w:abstractNumId w:val="36"/>
  </w:num>
  <w:num w:numId="27">
    <w:abstractNumId w:val="47"/>
  </w:num>
  <w:num w:numId="28">
    <w:abstractNumId w:val="34"/>
  </w:num>
  <w:num w:numId="29">
    <w:abstractNumId w:val="2"/>
  </w:num>
  <w:num w:numId="30">
    <w:abstractNumId w:val="18"/>
  </w:num>
  <w:num w:numId="31">
    <w:abstractNumId w:val="35"/>
  </w:num>
  <w:num w:numId="32">
    <w:abstractNumId w:val="37"/>
  </w:num>
  <w:num w:numId="33">
    <w:abstractNumId w:val="41"/>
  </w:num>
  <w:num w:numId="34">
    <w:abstractNumId w:val="4"/>
  </w:num>
  <w:num w:numId="35">
    <w:abstractNumId w:val="26"/>
  </w:num>
  <w:num w:numId="36">
    <w:abstractNumId w:val="9"/>
  </w:num>
  <w:num w:numId="37">
    <w:abstractNumId w:val="12"/>
  </w:num>
  <w:num w:numId="38">
    <w:abstractNumId w:val="33"/>
  </w:num>
  <w:num w:numId="39">
    <w:abstractNumId w:val="52"/>
  </w:num>
  <w:num w:numId="40">
    <w:abstractNumId w:val="46"/>
  </w:num>
  <w:num w:numId="41">
    <w:abstractNumId w:val="15"/>
  </w:num>
  <w:num w:numId="42">
    <w:abstractNumId w:val="40"/>
  </w:num>
  <w:num w:numId="43">
    <w:abstractNumId w:val="42"/>
  </w:num>
  <w:num w:numId="44">
    <w:abstractNumId w:val="21"/>
  </w:num>
  <w:num w:numId="45">
    <w:abstractNumId w:val="32"/>
  </w:num>
  <w:num w:numId="46">
    <w:abstractNumId w:val="16"/>
  </w:num>
  <w:num w:numId="47">
    <w:abstractNumId w:val="23"/>
  </w:num>
  <w:num w:numId="48">
    <w:abstractNumId w:val="17"/>
  </w:num>
  <w:num w:numId="49">
    <w:abstractNumId w:val="29"/>
  </w:num>
  <w:num w:numId="50">
    <w:abstractNumId w:val="5"/>
  </w:num>
  <w:num w:numId="51">
    <w:abstractNumId w:val="30"/>
  </w:num>
  <w:num w:numId="52">
    <w:abstractNumId w:val="38"/>
  </w:num>
  <w:num w:numId="53">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D14"/>
    <w:rsid w:val="00002578"/>
    <w:rsid w:val="00010098"/>
    <w:rsid w:val="00032581"/>
    <w:rsid w:val="000420E2"/>
    <w:rsid w:val="000648AD"/>
    <w:rsid w:val="000A49B0"/>
    <w:rsid w:val="000A5D14"/>
    <w:rsid w:val="000B181C"/>
    <w:rsid w:val="000E25D2"/>
    <w:rsid w:val="001137DC"/>
    <w:rsid w:val="0011731E"/>
    <w:rsid w:val="001310CE"/>
    <w:rsid w:val="00133734"/>
    <w:rsid w:val="00134CCC"/>
    <w:rsid w:val="0014216E"/>
    <w:rsid w:val="00171E09"/>
    <w:rsid w:val="00181694"/>
    <w:rsid w:val="001857CB"/>
    <w:rsid w:val="00193C89"/>
    <w:rsid w:val="001A0283"/>
    <w:rsid w:val="001B3216"/>
    <w:rsid w:val="001C2AF8"/>
    <w:rsid w:val="001D239F"/>
    <w:rsid w:val="00207061"/>
    <w:rsid w:val="00210B66"/>
    <w:rsid w:val="00216EDE"/>
    <w:rsid w:val="00236927"/>
    <w:rsid w:val="00255B94"/>
    <w:rsid w:val="0025663D"/>
    <w:rsid w:val="00267B5A"/>
    <w:rsid w:val="002863D2"/>
    <w:rsid w:val="00290CB0"/>
    <w:rsid w:val="00293E52"/>
    <w:rsid w:val="00296911"/>
    <w:rsid w:val="00297F4B"/>
    <w:rsid w:val="002C68D2"/>
    <w:rsid w:val="002E3D3F"/>
    <w:rsid w:val="002E439D"/>
    <w:rsid w:val="002E4B56"/>
    <w:rsid w:val="002F5B3F"/>
    <w:rsid w:val="003006A1"/>
    <w:rsid w:val="00302EAB"/>
    <w:rsid w:val="00307CA9"/>
    <w:rsid w:val="00347696"/>
    <w:rsid w:val="0035313C"/>
    <w:rsid w:val="003977F8"/>
    <w:rsid w:val="003A74F3"/>
    <w:rsid w:val="003B5E3C"/>
    <w:rsid w:val="003E531B"/>
    <w:rsid w:val="003E5900"/>
    <w:rsid w:val="003F573B"/>
    <w:rsid w:val="00417758"/>
    <w:rsid w:val="00423290"/>
    <w:rsid w:val="004462DF"/>
    <w:rsid w:val="004530BB"/>
    <w:rsid w:val="00460232"/>
    <w:rsid w:val="00474FC9"/>
    <w:rsid w:val="0047751E"/>
    <w:rsid w:val="00486920"/>
    <w:rsid w:val="004A1BC6"/>
    <w:rsid w:val="004A3AE0"/>
    <w:rsid w:val="004E1EFE"/>
    <w:rsid w:val="0050056E"/>
    <w:rsid w:val="0050694B"/>
    <w:rsid w:val="005375A4"/>
    <w:rsid w:val="00542DD6"/>
    <w:rsid w:val="0055522A"/>
    <w:rsid w:val="00595040"/>
    <w:rsid w:val="005A02B6"/>
    <w:rsid w:val="005A02BD"/>
    <w:rsid w:val="005B396D"/>
    <w:rsid w:val="005B452E"/>
    <w:rsid w:val="005B4E3A"/>
    <w:rsid w:val="005C7CD5"/>
    <w:rsid w:val="005E4833"/>
    <w:rsid w:val="005E66B3"/>
    <w:rsid w:val="005F0CC7"/>
    <w:rsid w:val="005F5E6A"/>
    <w:rsid w:val="0060242E"/>
    <w:rsid w:val="00626A2C"/>
    <w:rsid w:val="00645E4B"/>
    <w:rsid w:val="006613F2"/>
    <w:rsid w:val="00691CB6"/>
    <w:rsid w:val="00693DD8"/>
    <w:rsid w:val="00696968"/>
    <w:rsid w:val="006B73A0"/>
    <w:rsid w:val="006C0861"/>
    <w:rsid w:val="006C662B"/>
    <w:rsid w:val="00715284"/>
    <w:rsid w:val="00722917"/>
    <w:rsid w:val="00732B48"/>
    <w:rsid w:val="007521C8"/>
    <w:rsid w:val="00760108"/>
    <w:rsid w:val="00766D65"/>
    <w:rsid w:val="007814C9"/>
    <w:rsid w:val="00791AB0"/>
    <w:rsid w:val="007A299F"/>
    <w:rsid w:val="007B271F"/>
    <w:rsid w:val="007D18CF"/>
    <w:rsid w:val="007D1E18"/>
    <w:rsid w:val="007E74CD"/>
    <w:rsid w:val="007F22C8"/>
    <w:rsid w:val="008062ED"/>
    <w:rsid w:val="00807E63"/>
    <w:rsid w:val="008420D6"/>
    <w:rsid w:val="008531CD"/>
    <w:rsid w:val="00866413"/>
    <w:rsid w:val="0086650B"/>
    <w:rsid w:val="008C28A7"/>
    <w:rsid w:val="008C2F51"/>
    <w:rsid w:val="008C543E"/>
    <w:rsid w:val="008D3F61"/>
    <w:rsid w:val="008F78DD"/>
    <w:rsid w:val="00905ECF"/>
    <w:rsid w:val="00922E12"/>
    <w:rsid w:val="009461D6"/>
    <w:rsid w:val="00947B53"/>
    <w:rsid w:val="00964B3A"/>
    <w:rsid w:val="009766C3"/>
    <w:rsid w:val="00983C78"/>
    <w:rsid w:val="009C06D5"/>
    <w:rsid w:val="009D23D8"/>
    <w:rsid w:val="009E4AB5"/>
    <w:rsid w:val="00A06D11"/>
    <w:rsid w:val="00A27FC8"/>
    <w:rsid w:val="00A3026A"/>
    <w:rsid w:val="00A366C0"/>
    <w:rsid w:val="00A573E1"/>
    <w:rsid w:val="00A7153F"/>
    <w:rsid w:val="00A72714"/>
    <w:rsid w:val="00A81B93"/>
    <w:rsid w:val="00AA2D93"/>
    <w:rsid w:val="00AB627B"/>
    <w:rsid w:val="00AB65BB"/>
    <w:rsid w:val="00AC3ED1"/>
    <w:rsid w:val="00AE1FCD"/>
    <w:rsid w:val="00AF0F46"/>
    <w:rsid w:val="00AF1093"/>
    <w:rsid w:val="00B5324E"/>
    <w:rsid w:val="00B8030C"/>
    <w:rsid w:val="00B9432D"/>
    <w:rsid w:val="00BF5916"/>
    <w:rsid w:val="00C330E6"/>
    <w:rsid w:val="00C5010E"/>
    <w:rsid w:val="00C50925"/>
    <w:rsid w:val="00C51AFE"/>
    <w:rsid w:val="00C522EA"/>
    <w:rsid w:val="00C57AEA"/>
    <w:rsid w:val="00C74AB7"/>
    <w:rsid w:val="00C95047"/>
    <w:rsid w:val="00CC4256"/>
    <w:rsid w:val="00CF32B5"/>
    <w:rsid w:val="00D02216"/>
    <w:rsid w:val="00D03F3E"/>
    <w:rsid w:val="00D32D12"/>
    <w:rsid w:val="00D32ECB"/>
    <w:rsid w:val="00D36DB4"/>
    <w:rsid w:val="00D4182C"/>
    <w:rsid w:val="00D45DC1"/>
    <w:rsid w:val="00D51F1D"/>
    <w:rsid w:val="00D5211B"/>
    <w:rsid w:val="00D54600"/>
    <w:rsid w:val="00D6081D"/>
    <w:rsid w:val="00D816E6"/>
    <w:rsid w:val="00D86E98"/>
    <w:rsid w:val="00D90E01"/>
    <w:rsid w:val="00D91F32"/>
    <w:rsid w:val="00D94E3D"/>
    <w:rsid w:val="00D975EB"/>
    <w:rsid w:val="00DB0362"/>
    <w:rsid w:val="00DC4638"/>
    <w:rsid w:val="00DF6330"/>
    <w:rsid w:val="00E37E90"/>
    <w:rsid w:val="00E53D55"/>
    <w:rsid w:val="00E55E97"/>
    <w:rsid w:val="00E7304B"/>
    <w:rsid w:val="00E739E4"/>
    <w:rsid w:val="00E74209"/>
    <w:rsid w:val="00E97DA6"/>
    <w:rsid w:val="00ED016D"/>
    <w:rsid w:val="00ED4E5B"/>
    <w:rsid w:val="00EF432F"/>
    <w:rsid w:val="00F01A72"/>
    <w:rsid w:val="00F4599F"/>
    <w:rsid w:val="00F56FE6"/>
    <w:rsid w:val="00F72030"/>
    <w:rsid w:val="00F87337"/>
    <w:rsid w:val="00FA5018"/>
    <w:rsid w:val="00FB450F"/>
    <w:rsid w:val="00FC0A0B"/>
    <w:rsid w:val="00FC3AAF"/>
    <w:rsid w:val="00FC453F"/>
    <w:rsid w:val="00FD1B74"/>
    <w:rsid w:val="00FD7987"/>
    <w:rsid w:val="00FE7FEB"/>
    <w:rsid w:val="00FF35DB"/>
    <w:rsid w:val="00FF6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Balk1">
    <w:name w:val="heading 1"/>
    <w:basedOn w:val="Normal"/>
    <w:next w:val="Normal"/>
    <w:link w:val="Balk1Char"/>
    <w:uiPriority w:val="9"/>
    <w:qFormat/>
    <w:rsid w:val="005A02B6"/>
    <w:pPr>
      <w:keepNext/>
      <w:keepLines/>
      <w:spacing w:before="240" w:after="0" w:line="240" w:lineRule="auto"/>
      <w:outlineLvl w:val="0"/>
    </w:pPr>
    <w:rPr>
      <w:rFonts w:eastAsiaTheme="majorEastAsia" w:cstheme="majorBidi"/>
      <w:b/>
      <w:sz w:val="24"/>
      <w:szCs w:val="32"/>
    </w:rPr>
  </w:style>
  <w:style w:type="paragraph" w:styleId="Balk2">
    <w:name w:val="heading 2"/>
    <w:basedOn w:val="Normal"/>
    <w:next w:val="Normal"/>
    <w:link w:val="Balk2Char"/>
    <w:uiPriority w:val="9"/>
    <w:unhideWhenUsed/>
    <w:qFormat/>
    <w:rsid w:val="005A02B6"/>
    <w:pPr>
      <w:keepNext/>
      <w:keepLines/>
      <w:spacing w:before="40" w:after="0" w:line="276" w:lineRule="auto"/>
      <w:outlineLvl w:val="1"/>
    </w:pPr>
    <w:rPr>
      <w:rFonts w:eastAsiaTheme="majorEastAsia" w:cstheme="majorBidi"/>
      <w:b/>
      <w:sz w:val="24"/>
      <w:szCs w:val="26"/>
      <w:lang w:val="en-GB"/>
    </w:rPr>
  </w:style>
  <w:style w:type="paragraph" w:styleId="Balk3">
    <w:name w:val="heading 3"/>
    <w:basedOn w:val="Normal"/>
    <w:next w:val="Normal"/>
    <w:link w:val="Balk3Char"/>
    <w:uiPriority w:val="9"/>
    <w:unhideWhenUsed/>
    <w:qFormat/>
    <w:rsid w:val="005A02B6"/>
    <w:pPr>
      <w:keepNext/>
      <w:keepLines/>
      <w:spacing w:before="40" w:after="0" w:line="276" w:lineRule="auto"/>
      <w:outlineLvl w:val="2"/>
    </w:pPr>
    <w:rPr>
      <w:rFonts w:eastAsiaTheme="majorEastAsia" w:cstheme="majorBidi"/>
      <w:b/>
      <w:sz w:val="24"/>
      <w:szCs w:val="24"/>
      <w:lang w:val="en-GB"/>
    </w:rPr>
  </w:style>
  <w:style w:type="paragraph" w:styleId="Balk4">
    <w:name w:val="heading 4"/>
    <w:basedOn w:val="Normal"/>
    <w:next w:val="Normal"/>
    <w:link w:val="Balk4Char"/>
    <w:uiPriority w:val="9"/>
    <w:unhideWhenUsed/>
    <w:qFormat/>
    <w:rsid w:val="004530BB"/>
    <w:pPr>
      <w:keepNext/>
      <w:keepLines/>
      <w:spacing w:before="40" w:after="0" w:line="276" w:lineRule="auto"/>
      <w:outlineLvl w:val="3"/>
    </w:pPr>
    <w:rPr>
      <w:rFonts w:eastAsiaTheme="majorEastAsia" w:cstheme="majorBidi"/>
      <w:b/>
      <w:iCs/>
      <w:sz w:val="24"/>
      <w:lang w:val="en-GB"/>
    </w:rPr>
  </w:style>
  <w:style w:type="paragraph" w:styleId="Balk5">
    <w:name w:val="heading 5"/>
    <w:basedOn w:val="Normal"/>
    <w:next w:val="Normal"/>
    <w:link w:val="Balk5Char"/>
    <w:uiPriority w:val="9"/>
    <w:unhideWhenUsed/>
    <w:qFormat/>
    <w:rsid w:val="0055522A"/>
    <w:pPr>
      <w:keepNext/>
      <w:keepLines/>
      <w:spacing w:before="200" w:after="0" w:line="276" w:lineRule="auto"/>
      <w:jc w:val="center"/>
      <w:outlineLvl w:val="4"/>
    </w:pPr>
    <w:rPr>
      <w:rFonts w:eastAsiaTheme="majorEastAsia" w:cstheme="majorBidi"/>
      <w:b/>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A02B6"/>
    <w:rPr>
      <w:rFonts w:eastAsiaTheme="majorEastAsia" w:cstheme="majorBidi"/>
      <w:b/>
      <w:sz w:val="24"/>
      <w:szCs w:val="32"/>
    </w:rPr>
  </w:style>
  <w:style w:type="character" w:customStyle="1" w:styleId="Balk2Char">
    <w:name w:val="Başlık 2 Char"/>
    <w:basedOn w:val="VarsaylanParagrafYazTipi"/>
    <w:link w:val="Balk2"/>
    <w:uiPriority w:val="9"/>
    <w:rsid w:val="005A02B6"/>
    <w:rPr>
      <w:rFonts w:eastAsiaTheme="majorEastAsia" w:cstheme="majorBidi"/>
      <w:b/>
      <w:noProof/>
      <w:sz w:val="24"/>
      <w:szCs w:val="26"/>
      <w:lang w:val="en-GB"/>
    </w:rPr>
  </w:style>
  <w:style w:type="character" w:customStyle="1" w:styleId="Balk3Char">
    <w:name w:val="Başlık 3 Char"/>
    <w:basedOn w:val="VarsaylanParagrafYazTipi"/>
    <w:link w:val="Balk3"/>
    <w:uiPriority w:val="9"/>
    <w:rsid w:val="005A02B6"/>
    <w:rPr>
      <w:rFonts w:eastAsiaTheme="majorEastAsia" w:cstheme="majorBidi"/>
      <w:b/>
      <w:noProof/>
      <w:sz w:val="24"/>
      <w:szCs w:val="24"/>
      <w:lang w:val="en-GB"/>
    </w:rPr>
  </w:style>
  <w:style w:type="character" w:customStyle="1" w:styleId="Balk4Char">
    <w:name w:val="Başlık 4 Char"/>
    <w:basedOn w:val="VarsaylanParagrafYazTipi"/>
    <w:link w:val="Balk4"/>
    <w:uiPriority w:val="9"/>
    <w:rsid w:val="004530BB"/>
    <w:rPr>
      <w:rFonts w:eastAsiaTheme="majorEastAsia" w:cstheme="majorBidi"/>
      <w:b/>
      <w:iCs/>
      <w:noProof/>
      <w:sz w:val="24"/>
      <w:lang w:val="en-GB"/>
    </w:rPr>
  </w:style>
  <w:style w:type="character" w:customStyle="1" w:styleId="Balk5Char">
    <w:name w:val="Başlık 5 Char"/>
    <w:basedOn w:val="VarsaylanParagrafYazTipi"/>
    <w:link w:val="Balk5"/>
    <w:uiPriority w:val="9"/>
    <w:rsid w:val="0055522A"/>
    <w:rPr>
      <w:rFonts w:eastAsiaTheme="majorEastAsia" w:cstheme="majorBidi"/>
      <w:b/>
      <w:noProof/>
      <w:lang w:val="tr-TR"/>
    </w:rPr>
  </w:style>
  <w:style w:type="paragraph" w:styleId="AralkYok">
    <w:name w:val="No Spacing"/>
    <w:link w:val="AralkYokChar"/>
    <w:uiPriority w:val="1"/>
    <w:qFormat/>
    <w:rsid w:val="00F4599F"/>
    <w:pPr>
      <w:spacing w:after="0" w:line="240" w:lineRule="auto"/>
    </w:pPr>
    <w:rPr>
      <w:rFonts w:eastAsiaTheme="minorEastAsia"/>
    </w:rPr>
  </w:style>
  <w:style w:type="character" w:customStyle="1" w:styleId="AralkYokChar">
    <w:name w:val="Aralık Yok Char"/>
    <w:basedOn w:val="VarsaylanParagrafYazTipi"/>
    <w:link w:val="AralkYok"/>
    <w:uiPriority w:val="1"/>
    <w:rsid w:val="00F4599F"/>
    <w:rPr>
      <w:rFonts w:eastAsiaTheme="minorEastAsia"/>
    </w:rPr>
  </w:style>
  <w:style w:type="character" w:styleId="KitapBal">
    <w:name w:val="Book Title"/>
    <w:basedOn w:val="VarsaylanParagrafYazTipi"/>
    <w:uiPriority w:val="33"/>
    <w:qFormat/>
    <w:rsid w:val="00D816E6"/>
    <w:rPr>
      <w:rFonts w:asciiTheme="minorHAnsi" w:hAnsiTheme="minorHAnsi"/>
      <w:b/>
      <w:bCs/>
      <w:smallCaps/>
      <w:color w:val="auto"/>
      <w:spacing w:val="5"/>
      <w:sz w:val="24"/>
    </w:rPr>
  </w:style>
  <w:style w:type="paragraph" w:styleId="KonuBal">
    <w:name w:val="Title"/>
    <w:basedOn w:val="Normal"/>
    <w:next w:val="Normal"/>
    <w:link w:val="KonuBalChar"/>
    <w:uiPriority w:val="10"/>
    <w:qFormat/>
    <w:rsid w:val="00F8733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tr-TR"/>
    </w:rPr>
  </w:style>
  <w:style w:type="character" w:customStyle="1" w:styleId="KonuBalChar">
    <w:name w:val="Konu Başlığı Char"/>
    <w:basedOn w:val="VarsaylanParagrafYazTipi"/>
    <w:link w:val="KonuBal"/>
    <w:uiPriority w:val="10"/>
    <w:rsid w:val="00F87337"/>
    <w:rPr>
      <w:rFonts w:asciiTheme="majorHAnsi" w:eastAsiaTheme="majorEastAsia" w:hAnsiTheme="majorHAnsi" w:cstheme="majorBidi"/>
      <w:color w:val="323E4F" w:themeColor="text2" w:themeShade="BF"/>
      <w:spacing w:val="5"/>
      <w:kern w:val="28"/>
      <w:sz w:val="52"/>
      <w:szCs w:val="52"/>
      <w:lang w:val="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F87337"/>
    <w:pPr>
      <w:tabs>
        <w:tab w:val="center" w:pos="4703"/>
        <w:tab w:val="right" w:pos="9406"/>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F87337"/>
  </w:style>
  <w:style w:type="paragraph" w:styleId="Altbilgi">
    <w:name w:val="footer"/>
    <w:basedOn w:val="Normal"/>
    <w:link w:val="AltbilgiChar"/>
    <w:uiPriority w:val="99"/>
    <w:unhideWhenUsed/>
    <w:rsid w:val="00F87337"/>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F87337"/>
  </w:style>
  <w:style w:type="paragraph" w:styleId="ListeParagraf">
    <w:name w:val="List Paragraph"/>
    <w:basedOn w:val="Normal"/>
    <w:uiPriority w:val="34"/>
    <w:qFormat/>
    <w:rsid w:val="00F87337"/>
    <w:pPr>
      <w:ind w:left="720"/>
      <w:contextualSpacing/>
    </w:pPr>
  </w:style>
  <w:style w:type="character" w:styleId="Gl">
    <w:name w:val="Strong"/>
    <w:basedOn w:val="VarsaylanParagrafYazTipi"/>
    <w:uiPriority w:val="22"/>
    <w:qFormat/>
    <w:rsid w:val="0055522A"/>
    <w:rPr>
      <w:rFonts w:asciiTheme="minorHAnsi" w:hAnsiTheme="minorHAnsi"/>
      <w:b/>
      <w:bCs/>
      <w:color w:val="auto"/>
      <w:sz w:val="22"/>
    </w:rPr>
  </w:style>
  <w:style w:type="character" w:styleId="YerTutucuMetni">
    <w:name w:val="Placeholder Text"/>
    <w:basedOn w:val="VarsaylanParagrafYazTipi"/>
    <w:uiPriority w:val="99"/>
    <w:semiHidden/>
    <w:rsid w:val="002E3D3F"/>
    <w:rPr>
      <w:color w:val="808080"/>
    </w:rPr>
  </w:style>
  <w:style w:type="paragraph" w:customStyle="1" w:styleId="ortabalkbold">
    <w:name w:val="ortabalkbold"/>
    <w:basedOn w:val="Normal"/>
    <w:rsid w:val="00D54600"/>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table" w:styleId="TabloKlavuzu">
    <w:name w:val="Table Grid"/>
    <w:basedOn w:val="NormalTablo"/>
    <w:uiPriority w:val="59"/>
    <w:rsid w:val="008F78DD"/>
    <w:pPr>
      <w:spacing w:after="0" w:line="240" w:lineRule="auto"/>
    </w:pPr>
    <w:rPr>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Bal">
    <w:name w:val="TOC Heading"/>
    <w:basedOn w:val="Balk1"/>
    <w:next w:val="Normal"/>
    <w:uiPriority w:val="39"/>
    <w:unhideWhenUsed/>
    <w:qFormat/>
    <w:rsid w:val="00AB65BB"/>
    <w:pPr>
      <w:outlineLvl w:val="9"/>
    </w:pPr>
  </w:style>
  <w:style w:type="paragraph" w:styleId="T1">
    <w:name w:val="toc 1"/>
    <w:basedOn w:val="Normal"/>
    <w:next w:val="Normal"/>
    <w:autoRedefine/>
    <w:uiPriority w:val="39"/>
    <w:unhideWhenUsed/>
    <w:rsid w:val="00AB65BB"/>
    <w:pPr>
      <w:spacing w:after="100"/>
    </w:pPr>
  </w:style>
  <w:style w:type="character" w:styleId="Kpr">
    <w:name w:val="Hyperlink"/>
    <w:basedOn w:val="VarsaylanParagrafYazTipi"/>
    <w:uiPriority w:val="99"/>
    <w:unhideWhenUsed/>
    <w:rsid w:val="00AB65BB"/>
    <w:rPr>
      <w:color w:val="0563C1" w:themeColor="hyperlink"/>
      <w:u w:val="single"/>
    </w:rPr>
  </w:style>
  <w:style w:type="paragraph" w:customStyle="1" w:styleId="nor">
    <w:name w:val="nor"/>
    <w:basedOn w:val="Normal"/>
    <w:rsid w:val="00FE7FEB"/>
    <w:pPr>
      <w:spacing w:after="0" w:line="240" w:lineRule="auto"/>
      <w:jc w:val="both"/>
    </w:pPr>
    <w:rPr>
      <w:rFonts w:ascii="New York" w:eastAsia="Times New Roman" w:hAnsi="New York" w:cs="Times New Roman"/>
      <w:sz w:val="18"/>
      <w:szCs w:val="18"/>
      <w:lang w:val="tr-TR" w:eastAsia="tr-TR"/>
    </w:rPr>
  </w:style>
  <w:style w:type="paragraph" w:styleId="T2">
    <w:name w:val="toc 2"/>
    <w:basedOn w:val="Normal"/>
    <w:next w:val="Normal"/>
    <w:autoRedefine/>
    <w:uiPriority w:val="39"/>
    <w:unhideWhenUsed/>
    <w:rsid w:val="00D816E6"/>
    <w:pPr>
      <w:spacing w:after="100"/>
      <w:ind w:left="220"/>
    </w:pPr>
  </w:style>
  <w:style w:type="paragraph" w:styleId="T3">
    <w:name w:val="toc 3"/>
    <w:basedOn w:val="Normal"/>
    <w:next w:val="Normal"/>
    <w:autoRedefine/>
    <w:uiPriority w:val="39"/>
    <w:unhideWhenUsed/>
    <w:rsid w:val="00D816E6"/>
    <w:pPr>
      <w:spacing w:after="100"/>
      <w:ind w:left="440"/>
    </w:pPr>
  </w:style>
  <w:style w:type="paragraph" w:styleId="T4">
    <w:name w:val="toc 4"/>
    <w:basedOn w:val="Normal"/>
    <w:next w:val="Normal"/>
    <w:autoRedefine/>
    <w:uiPriority w:val="39"/>
    <w:unhideWhenUsed/>
    <w:rsid w:val="009461D6"/>
    <w:pPr>
      <w:spacing w:after="100"/>
      <w:ind w:left="660"/>
    </w:pPr>
    <w:rPr>
      <w:rFonts w:eastAsiaTheme="minorEastAsia"/>
      <w:noProof w:val="0"/>
      <w:lang w:val="tr-TR" w:eastAsia="tr-TR"/>
    </w:rPr>
  </w:style>
  <w:style w:type="paragraph" w:styleId="T5">
    <w:name w:val="toc 5"/>
    <w:basedOn w:val="Normal"/>
    <w:next w:val="Normal"/>
    <w:autoRedefine/>
    <w:uiPriority w:val="39"/>
    <w:unhideWhenUsed/>
    <w:rsid w:val="009461D6"/>
    <w:pPr>
      <w:spacing w:after="100"/>
      <w:ind w:left="880"/>
    </w:pPr>
    <w:rPr>
      <w:rFonts w:eastAsiaTheme="minorEastAsia"/>
      <w:noProof w:val="0"/>
      <w:lang w:val="tr-TR" w:eastAsia="tr-TR"/>
    </w:rPr>
  </w:style>
  <w:style w:type="paragraph" w:styleId="T6">
    <w:name w:val="toc 6"/>
    <w:basedOn w:val="Normal"/>
    <w:next w:val="Normal"/>
    <w:autoRedefine/>
    <w:uiPriority w:val="39"/>
    <w:unhideWhenUsed/>
    <w:rsid w:val="009461D6"/>
    <w:pPr>
      <w:spacing w:after="100"/>
      <w:ind w:left="1100"/>
    </w:pPr>
    <w:rPr>
      <w:rFonts w:eastAsiaTheme="minorEastAsia"/>
      <w:noProof w:val="0"/>
      <w:lang w:val="tr-TR" w:eastAsia="tr-TR"/>
    </w:rPr>
  </w:style>
  <w:style w:type="paragraph" w:styleId="T7">
    <w:name w:val="toc 7"/>
    <w:basedOn w:val="Normal"/>
    <w:next w:val="Normal"/>
    <w:autoRedefine/>
    <w:uiPriority w:val="39"/>
    <w:unhideWhenUsed/>
    <w:rsid w:val="009461D6"/>
    <w:pPr>
      <w:spacing w:after="100"/>
      <w:ind w:left="1320"/>
    </w:pPr>
    <w:rPr>
      <w:rFonts w:eastAsiaTheme="minorEastAsia"/>
      <w:noProof w:val="0"/>
      <w:lang w:val="tr-TR" w:eastAsia="tr-TR"/>
    </w:rPr>
  </w:style>
  <w:style w:type="paragraph" w:styleId="T8">
    <w:name w:val="toc 8"/>
    <w:basedOn w:val="Normal"/>
    <w:next w:val="Normal"/>
    <w:autoRedefine/>
    <w:uiPriority w:val="39"/>
    <w:unhideWhenUsed/>
    <w:rsid w:val="009461D6"/>
    <w:pPr>
      <w:spacing w:after="100"/>
      <w:ind w:left="1540"/>
    </w:pPr>
    <w:rPr>
      <w:rFonts w:eastAsiaTheme="minorEastAsia"/>
      <w:noProof w:val="0"/>
      <w:lang w:val="tr-TR" w:eastAsia="tr-TR"/>
    </w:rPr>
  </w:style>
  <w:style w:type="paragraph" w:styleId="T9">
    <w:name w:val="toc 9"/>
    <w:basedOn w:val="Normal"/>
    <w:next w:val="Normal"/>
    <w:autoRedefine/>
    <w:uiPriority w:val="39"/>
    <w:unhideWhenUsed/>
    <w:rsid w:val="009461D6"/>
    <w:pPr>
      <w:spacing w:after="100"/>
      <w:ind w:left="1760"/>
    </w:pPr>
    <w:rPr>
      <w:rFonts w:eastAsiaTheme="minorEastAsia"/>
      <w:noProof w:val="0"/>
      <w:lang w:val="tr-TR" w:eastAsia="tr-TR"/>
    </w:rPr>
  </w:style>
  <w:style w:type="character" w:customStyle="1" w:styleId="UnresolvedMention">
    <w:name w:val="Unresolved Mention"/>
    <w:basedOn w:val="VarsaylanParagrafYazTipi"/>
    <w:uiPriority w:val="99"/>
    <w:semiHidden/>
    <w:unhideWhenUsed/>
    <w:rsid w:val="009461D6"/>
    <w:rPr>
      <w:color w:val="605E5C"/>
      <w:shd w:val="clear" w:color="auto" w:fill="E1DFDD"/>
    </w:rPr>
  </w:style>
  <w:style w:type="paragraph" w:styleId="ekillerTablosu">
    <w:name w:val="table of figures"/>
    <w:basedOn w:val="Normal"/>
    <w:next w:val="Normal"/>
    <w:uiPriority w:val="99"/>
    <w:unhideWhenUsed/>
    <w:rsid w:val="0055522A"/>
    <w:pPr>
      <w:spacing w:after="0"/>
    </w:pPr>
  </w:style>
  <w:style w:type="paragraph" w:styleId="BalonMetni">
    <w:name w:val="Balloon Text"/>
    <w:basedOn w:val="Normal"/>
    <w:link w:val="BalonMetniChar"/>
    <w:uiPriority w:val="99"/>
    <w:semiHidden/>
    <w:unhideWhenUsed/>
    <w:rsid w:val="00D03F3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03F3E"/>
    <w:rPr>
      <w:rFonts w:ascii="Tahoma" w:hAnsi="Tahoma" w:cs="Tahoma"/>
      <w:noProof/>
      <w:sz w:val="16"/>
      <w:szCs w:val="16"/>
    </w:rPr>
  </w:style>
  <w:style w:type="paragraph" w:styleId="DipnotMetni">
    <w:name w:val="footnote text"/>
    <w:basedOn w:val="Normal"/>
    <w:link w:val="DipnotMetniChar"/>
    <w:semiHidden/>
    <w:unhideWhenUsed/>
    <w:rsid w:val="00E55E97"/>
    <w:pPr>
      <w:spacing w:after="0" w:line="240" w:lineRule="auto"/>
    </w:pPr>
    <w:rPr>
      <w:rFonts w:eastAsia="Calibri" w:cs="Times New Roman"/>
      <w:noProof w:val="0"/>
      <w:sz w:val="20"/>
      <w:szCs w:val="20"/>
      <w:lang w:val="tr-TR"/>
    </w:rPr>
  </w:style>
  <w:style w:type="character" w:customStyle="1" w:styleId="DipnotMetniChar">
    <w:name w:val="Dipnot Metni Char"/>
    <w:basedOn w:val="VarsaylanParagrafYazTipi"/>
    <w:link w:val="DipnotMetni"/>
    <w:semiHidden/>
    <w:rsid w:val="00E55E97"/>
    <w:rPr>
      <w:rFonts w:eastAsia="Calibri" w:cs="Times New Roman"/>
      <w:sz w:val="20"/>
      <w:szCs w:val="20"/>
      <w:lang w:val="tr-TR"/>
    </w:rPr>
  </w:style>
  <w:style w:type="character" w:customStyle="1" w:styleId="AltbilgiChar1">
    <w:name w:val="Altbilgi Char1"/>
    <w:basedOn w:val="VarsaylanParagrafYazTipi"/>
    <w:uiPriority w:val="99"/>
    <w:rsid w:val="005F5E6A"/>
    <w:rPr>
      <w:rFonts w:ascii="Calibri" w:eastAsia="Calibri" w:hAnsi="Calibri" w:cs="Times New Roman"/>
    </w:rPr>
  </w:style>
  <w:style w:type="paragraph" w:customStyle="1" w:styleId="metin">
    <w:name w:val="metin"/>
    <w:basedOn w:val="Normal"/>
    <w:rsid w:val="005F5E6A"/>
    <w:pPr>
      <w:spacing w:before="100" w:beforeAutospacing="1" w:after="100" w:afterAutospacing="1" w:line="240" w:lineRule="auto"/>
    </w:pPr>
    <w:rPr>
      <w:rFonts w:ascii="Times New Roman" w:eastAsia="Times New Roman" w:hAnsi="Times New Roman" w:cs="Times New Roman"/>
      <w:noProof w:val="0"/>
      <w:sz w:val="24"/>
      <w:szCs w:val="24"/>
      <w:lang w:val="tr-TR" w:eastAsia="tr-TR"/>
    </w:rPr>
  </w:style>
  <w:style w:type="character" w:customStyle="1" w:styleId="tlid-translation">
    <w:name w:val="tlid-translation"/>
    <w:basedOn w:val="VarsaylanParagrafYazTipi"/>
    <w:rsid w:val="00D91F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Balk1">
    <w:name w:val="heading 1"/>
    <w:basedOn w:val="Normal"/>
    <w:next w:val="Normal"/>
    <w:link w:val="Balk1Char"/>
    <w:uiPriority w:val="9"/>
    <w:qFormat/>
    <w:rsid w:val="005A02B6"/>
    <w:pPr>
      <w:keepNext/>
      <w:keepLines/>
      <w:spacing w:before="240" w:after="0" w:line="240" w:lineRule="auto"/>
      <w:outlineLvl w:val="0"/>
    </w:pPr>
    <w:rPr>
      <w:rFonts w:eastAsiaTheme="majorEastAsia" w:cstheme="majorBidi"/>
      <w:b/>
      <w:sz w:val="24"/>
      <w:szCs w:val="32"/>
    </w:rPr>
  </w:style>
  <w:style w:type="paragraph" w:styleId="Balk2">
    <w:name w:val="heading 2"/>
    <w:basedOn w:val="Normal"/>
    <w:next w:val="Normal"/>
    <w:link w:val="Balk2Char"/>
    <w:uiPriority w:val="9"/>
    <w:unhideWhenUsed/>
    <w:qFormat/>
    <w:rsid w:val="005A02B6"/>
    <w:pPr>
      <w:keepNext/>
      <w:keepLines/>
      <w:spacing w:before="40" w:after="0" w:line="276" w:lineRule="auto"/>
      <w:outlineLvl w:val="1"/>
    </w:pPr>
    <w:rPr>
      <w:rFonts w:eastAsiaTheme="majorEastAsia" w:cstheme="majorBidi"/>
      <w:b/>
      <w:sz w:val="24"/>
      <w:szCs w:val="26"/>
      <w:lang w:val="en-GB"/>
    </w:rPr>
  </w:style>
  <w:style w:type="paragraph" w:styleId="Balk3">
    <w:name w:val="heading 3"/>
    <w:basedOn w:val="Normal"/>
    <w:next w:val="Normal"/>
    <w:link w:val="Balk3Char"/>
    <w:uiPriority w:val="9"/>
    <w:unhideWhenUsed/>
    <w:qFormat/>
    <w:rsid w:val="005A02B6"/>
    <w:pPr>
      <w:keepNext/>
      <w:keepLines/>
      <w:spacing w:before="40" w:after="0" w:line="276" w:lineRule="auto"/>
      <w:outlineLvl w:val="2"/>
    </w:pPr>
    <w:rPr>
      <w:rFonts w:eastAsiaTheme="majorEastAsia" w:cstheme="majorBidi"/>
      <w:b/>
      <w:sz w:val="24"/>
      <w:szCs w:val="24"/>
      <w:lang w:val="en-GB"/>
    </w:rPr>
  </w:style>
  <w:style w:type="paragraph" w:styleId="Balk4">
    <w:name w:val="heading 4"/>
    <w:basedOn w:val="Normal"/>
    <w:next w:val="Normal"/>
    <w:link w:val="Balk4Char"/>
    <w:uiPriority w:val="9"/>
    <w:unhideWhenUsed/>
    <w:qFormat/>
    <w:rsid w:val="004530BB"/>
    <w:pPr>
      <w:keepNext/>
      <w:keepLines/>
      <w:spacing w:before="40" w:after="0" w:line="276" w:lineRule="auto"/>
      <w:outlineLvl w:val="3"/>
    </w:pPr>
    <w:rPr>
      <w:rFonts w:eastAsiaTheme="majorEastAsia" w:cstheme="majorBidi"/>
      <w:b/>
      <w:iCs/>
      <w:sz w:val="24"/>
      <w:lang w:val="en-GB"/>
    </w:rPr>
  </w:style>
  <w:style w:type="paragraph" w:styleId="Balk5">
    <w:name w:val="heading 5"/>
    <w:basedOn w:val="Normal"/>
    <w:next w:val="Normal"/>
    <w:link w:val="Balk5Char"/>
    <w:uiPriority w:val="9"/>
    <w:unhideWhenUsed/>
    <w:qFormat/>
    <w:rsid w:val="0055522A"/>
    <w:pPr>
      <w:keepNext/>
      <w:keepLines/>
      <w:spacing w:before="200" w:after="0" w:line="276" w:lineRule="auto"/>
      <w:jc w:val="center"/>
      <w:outlineLvl w:val="4"/>
    </w:pPr>
    <w:rPr>
      <w:rFonts w:eastAsiaTheme="majorEastAsia" w:cstheme="majorBidi"/>
      <w:b/>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A02B6"/>
    <w:rPr>
      <w:rFonts w:eastAsiaTheme="majorEastAsia" w:cstheme="majorBidi"/>
      <w:b/>
      <w:sz w:val="24"/>
      <w:szCs w:val="32"/>
    </w:rPr>
  </w:style>
  <w:style w:type="character" w:customStyle="1" w:styleId="Balk2Char">
    <w:name w:val="Başlık 2 Char"/>
    <w:basedOn w:val="VarsaylanParagrafYazTipi"/>
    <w:link w:val="Balk2"/>
    <w:uiPriority w:val="9"/>
    <w:rsid w:val="005A02B6"/>
    <w:rPr>
      <w:rFonts w:eastAsiaTheme="majorEastAsia" w:cstheme="majorBidi"/>
      <w:b/>
      <w:noProof/>
      <w:sz w:val="24"/>
      <w:szCs w:val="26"/>
      <w:lang w:val="en-GB"/>
    </w:rPr>
  </w:style>
  <w:style w:type="character" w:customStyle="1" w:styleId="Balk3Char">
    <w:name w:val="Başlık 3 Char"/>
    <w:basedOn w:val="VarsaylanParagrafYazTipi"/>
    <w:link w:val="Balk3"/>
    <w:uiPriority w:val="9"/>
    <w:rsid w:val="005A02B6"/>
    <w:rPr>
      <w:rFonts w:eastAsiaTheme="majorEastAsia" w:cstheme="majorBidi"/>
      <w:b/>
      <w:noProof/>
      <w:sz w:val="24"/>
      <w:szCs w:val="24"/>
      <w:lang w:val="en-GB"/>
    </w:rPr>
  </w:style>
  <w:style w:type="character" w:customStyle="1" w:styleId="Balk4Char">
    <w:name w:val="Başlık 4 Char"/>
    <w:basedOn w:val="VarsaylanParagrafYazTipi"/>
    <w:link w:val="Balk4"/>
    <w:uiPriority w:val="9"/>
    <w:rsid w:val="004530BB"/>
    <w:rPr>
      <w:rFonts w:eastAsiaTheme="majorEastAsia" w:cstheme="majorBidi"/>
      <w:b/>
      <w:iCs/>
      <w:noProof/>
      <w:sz w:val="24"/>
      <w:lang w:val="en-GB"/>
    </w:rPr>
  </w:style>
  <w:style w:type="character" w:customStyle="1" w:styleId="Balk5Char">
    <w:name w:val="Başlık 5 Char"/>
    <w:basedOn w:val="VarsaylanParagrafYazTipi"/>
    <w:link w:val="Balk5"/>
    <w:uiPriority w:val="9"/>
    <w:rsid w:val="0055522A"/>
    <w:rPr>
      <w:rFonts w:eastAsiaTheme="majorEastAsia" w:cstheme="majorBidi"/>
      <w:b/>
      <w:noProof/>
      <w:lang w:val="tr-TR"/>
    </w:rPr>
  </w:style>
  <w:style w:type="paragraph" w:styleId="AralkYok">
    <w:name w:val="No Spacing"/>
    <w:link w:val="AralkYokChar"/>
    <w:uiPriority w:val="1"/>
    <w:qFormat/>
    <w:rsid w:val="00F4599F"/>
    <w:pPr>
      <w:spacing w:after="0" w:line="240" w:lineRule="auto"/>
    </w:pPr>
    <w:rPr>
      <w:rFonts w:eastAsiaTheme="minorEastAsia"/>
    </w:rPr>
  </w:style>
  <w:style w:type="character" w:customStyle="1" w:styleId="AralkYokChar">
    <w:name w:val="Aralık Yok Char"/>
    <w:basedOn w:val="VarsaylanParagrafYazTipi"/>
    <w:link w:val="AralkYok"/>
    <w:uiPriority w:val="1"/>
    <w:rsid w:val="00F4599F"/>
    <w:rPr>
      <w:rFonts w:eastAsiaTheme="minorEastAsia"/>
    </w:rPr>
  </w:style>
  <w:style w:type="character" w:styleId="KitapBal">
    <w:name w:val="Book Title"/>
    <w:basedOn w:val="VarsaylanParagrafYazTipi"/>
    <w:uiPriority w:val="33"/>
    <w:qFormat/>
    <w:rsid w:val="00D816E6"/>
    <w:rPr>
      <w:rFonts w:asciiTheme="minorHAnsi" w:hAnsiTheme="minorHAnsi"/>
      <w:b/>
      <w:bCs/>
      <w:smallCaps/>
      <w:color w:val="auto"/>
      <w:spacing w:val="5"/>
      <w:sz w:val="24"/>
    </w:rPr>
  </w:style>
  <w:style w:type="paragraph" w:styleId="KonuBal">
    <w:name w:val="Title"/>
    <w:basedOn w:val="Normal"/>
    <w:next w:val="Normal"/>
    <w:link w:val="KonuBalChar"/>
    <w:uiPriority w:val="10"/>
    <w:qFormat/>
    <w:rsid w:val="00F8733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tr-TR"/>
    </w:rPr>
  </w:style>
  <w:style w:type="character" w:customStyle="1" w:styleId="KonuBalChar">
    <w:name w:val="Konu Başlığı Char"/>
    <w:basedOn w:val="VarsaylanParagrafYazTipi"/>
    <w:link w:val="KonuBal"/>
    <w:uiPriority w:val="10"/>
    <w:rsid w:val="00F87337"/>
    <w:rPr>
      <w:rFonts w:asciiTheme="majorHAnsi" w:eastAsiaTheme="majorEastAsia" w:hAnsiTheme="majorHAnsi" w:cstheme="majorBidi"/>
      <w:color w:val="323E4F" w:themeColor="text2" w:themeShade="BF"/>
      <w:spacing w:val="5"/>
      <w:kern w:val="28"/>
      <w:sz w:val="52"/>
      <w:szCs w:val="52"/>
      <w:lang w:val="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F87337"/>
    <w:pPr>
      <w:tabs>
        <w:tab w:val="center" w:pos="4703"/>
        <w:tab w:val="right" w:pos="9406"/>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F87337"/>
  </w:style>
  <w:style w:type="paragraph" w:styleId="Altbilgi">
    <w:name w:val="footer"/>
    <w:basedOn w:val="Normal"/>
    <w:link w:val="AltbilgiChar"/>
    <w:uiPriority w:val="99"/>
    <w:unhideWhenUsed/>
    <w:rsid w:val="00F87337"/>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F87337"/>
  </w:style>
  <w:style w:type="paragraph" w:styleId="ListeParagraf">
    <w:name w:val="List Paragraph"/>
    <w:basedOn w:val="Normal"/>
    <w:uiPriority w:val="34"/>
    <w:qFormat/>
    <w:rsid w:val="00F87337"/>
    <w:pPr>
      <w:ind w:left="720"/>
      <w:contextualSpacing/>
    </w:pPr>
  </w:style>
  <w:style w:type="character" w:styleId="Gl">
    <w:name w:val="Strong"/>
    <w:basedOn w:val="VarsaylanParagrafYazTipi"/>
    <w:uiPriority w:val="22"/>
    <w:qFormat/>
    <w:rsid w:val="0055522A"/>
    <w:rPr>
      <w:rFonts w:asciiTheme="minorHAnsi" w:hAnsiTheme="minorHAnsi"/>
      <w:b/>
      <w:bCs/>
      <w:color w:val="auto"/>
      <w:sz w:val="22"/>
    </w:rPr>
  </w:style>
  <w:style w:type="character" w:styleId="YerTutucuMetni">
    <w:name w:val="Placeholder Text"/>
    <w:basedOn w:val="VarsaylanParagrafYazTipi"/>
    <w:uiPriority w:val="99"/>
    <w:semiHidden/>
    <w:rsid w:val="002E3D3F"/>
    <w:rPr>
      <w:color w:val="808080"/>
    </w:rPr>
  </w:style>
  <w:style w:type="paragraph" w:customStyle="1" w:styleId="ortabalkbold">
    <w:name w:val="ortabalkbold"/>
    <w:basedOn w:val="Normal"/>
    <w:rsid w:val="00D54600"/>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table" w:styleId="TabloKlavuzu">
    <w:name w:val="Table Grid"/>
    <w:basedOn w:val="NormalTablo"/>
    <w:uiPriority w:val="59"/>
    <w:rsid w:val="008F78DD"/>
    <w:pPr>
      <w:spacing w:after="0" w:line="240" w:lineRule="auto"/>
    </w:pPr>
    <w:rPr>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Bal">
    <w:name w:val="TOC Heading"/>
    <w:basedOn w:val="Balk1"/>
    <w:next w:val="Normal"/>
    <w:uiPriority w:val="39"/>
    <w:unhideWhenUsed/>
    <w:qFormat/>
    <w:rsid w:val="00AB65BB"/>
    <w:pPr>
      <w:outlineLvl w:val="9"/>
    </w:pPr>
  </w:style>
  <w:style w:type="paragraph" w:styleId="T1">
    <w:name w:val="toc 1"/>
    <w:basedOn w:val="Normal"/>
    <w:next w:val="Normal"/>
    <w:autoRedefine/>
    <w:uiPriority w:val="39"/>
    <w:unhideWhenUsed/>
    <w:rsid w:val="00AB65BB"/>
    <w:pPr>
      <w:spacing w:after="100"/>
    </w:pPr>
  </w:style>
  <w:style w:type="character" w:styleId="Kpr">
    <w:name w:val="Hyperlink"/>
    <w:basedOn w:val="VarsaylanParagrafYazTipi"/>
    <w:uiPriority w:val="99"/>
    <w:unhideWhenUsed/>
    <w:rsid w:val="00AB65BB"/>
    <w:rPr>
      <w:color w:val="0563C1" w:themeColor="hyperlink"/>
      <w:u w:val="single"/>
    </w:rPr>
  </w:style>
  <w:style w:type="paragraph" w:customStyle="1" w:styleId="nor">
    <w:name w:val="nor"/>
    <w:basedOn w:val="Normal"/>
    <w:rsid w:val="00FE7FEB"/>
    <w:pPr>
      <w:spacing w:after="0" w:line="240" w:lineRule="auto"/>
      <w:jc w:val="both"/>
    </w:pPr>
    <w:rPr>
      <w:rFonts w:ascii="New York" w:eastAsia="Times New Roman" w:hAnsi="New York" w:cs="Times New Roman"/>
      <w:sz w:val="18"/>
      <w:szCs w:val="18"/>
      <w:lang w:val="tr-TR" w:eastAsia="tr-TR"/>
    </w:rPr>
  </w:style>
  <w:style w:type="paragraph" w:styleId="T2">
    <w:name w:val="toc 2"/>
    <w:basedOn w:val="Normal"/>
    <w:next w:val="Normal"/>
    <w:autoRedefine/>
    <w:uiPriority w:val="39"/>
    <w:unhideWhenUsed/>
    <w:rsid w:val="00D816E6"/>
    <w:pPr>
      <w:spacing w:after="100"/>
      <w:ind w:left="220"/>
    </w:pPr>
  </w:style>
  <w:style w:type="paragraph" w:styleId="T3">
    <w:name w:val="toc 3"/>
    <w:basedOn w:val="Normal"/>
    <w:next w:val="Normal"/>
    <w:autoRedefine/>
    <w:uiPriority w:val="39"/>
    <w:unhideWhenUsed/>
    <w:rsid w:val="00D816E6"/>
    <w:pPr>
      <w:spacing w:after="100"/>
      <w:ind w:left="440"/>
    </w:pPr>
  </w:style>
  <w:style w:type="paragraph" w:styleId="T4">
    <w:name w:val="toc 4"/>
    <w:basedOn w:val="Normal"/>
    <w:next w:val="Normal"/>
    <w:autoRedefine/>
    <w:uiPriority w:val="39"/>
    <w:unhideWhenUsed/>
    <w:rsid w:val="009461D6"/>
    <w:pPr>
      <w:spacing w:after="100"/>
      <w:ind w:left="660"/>
    </w:pPr>
    <w:rPr>
      <w:rFonts w:eastAsiaTheme="minorEastAsia"/>
      <w:noProof w:val="0"/>
      <w:lang w:val="tr-TR" w:eastAsia="tr-TR"/>
    </w:rPr>
  </w:style>
  <w:style w:type="paragraph" w:styleId="T5">
    <w:name w:val="toc 5"/>
    <w:basedOn w:val="Normal"/>
    <w:next w:val="Normal"/>
    <w:autoRedefine/>
    <w:uiPriority w:val="39"/>
    <w:unhideWhenUsed/>
    <w:rsid w:val="009461D6"/>
    <w:pPr>
      <w:spacing w:after="100"/>
      <w:ind w:left="880"/>
    </w:pPr>
    <w:rPr>
      <w:rFonts w:eastAsiaTheme="minorEastAsia"/>
      <w:noProof w:val="0"/>
      <w:lang w:val="tr-TR" w:eastAsia="tr-TR"/>
    </w:rPr>
  </w:style>
  <w:style w:type="paragraph" w:styleId="T6">
    <w:name w:val="toc 6"/>
    <w:basedOn w:val="Normal"/>
    <w:next w:val="Normal"/>
    <w:autoRedefine/>
    <w:uiPriority w:val="39"/>
    <w:unhideWhenUsed/>
    <w:rsid w:val="009461D6"/>
    <w:pPr>
      <w:spacing w:after="100"/>
      <w:ind w:left="1100"/>
    </w:pPr>
    <w:rPr>
      <w:rFonts w:eastAsiaTheme="minorEastAsia"/>
      <w:noProof w:val="0"/>
      <w:lang w:val="tr-TR" w:eastAsia="tr-TR"/>
    </w:rPr>
  </w:style>
  <w:style w:type="paragraph" w:styleId="T7">
    <w:name w:val="toc 7"/>
    <w:basedOn w:val="Normal"/>
    <w:next w:val="Normal"/>
    <w:autoRedefine/>
    <w:uiPriority w:val="39"/>
    <w:unhideWhenUsed/>
    <w:rsid w:val="009461D6"/>
    <w:pPr>
      <w:spacing w:after="100"/>
      <w:ind w:left="1320"/>
    </w:pPr>
    <w:rPr>
      <w:rFonts w:eastAsiaTheme="minorEastAsia"/>
      <w:noProof w:val="0"/>
      <w:lang w:val="tr-TR" w:eastAsia="tr-TR"/>
    </w:rPr>
  </w:style>
  <w:style w:type="paragraph" w:styleId="T8">
    <w:name w:val="toc 8"/>
    <w:basedOn w:val="Normal"/>
    <w:next w:val="Normal"/>
    <w:autoRedefine/>
    <w:uiPriority w:val="39"/>
    <w:unhideWhenUsed/>
    <w:rsid w:val="009461D6"/>
    <w:pPr>
      <w:spacing w:after="100"/>
      <w:ind w:left="1540"/>
    </w:pPr>
    <w:rPr>
      <w:rFonts w:eastAsiaTheme="minorEastAsia"/>
      <w:noProof w:val="0"/>
      <w:lang w:val="tr-TR" w:eastAsia="tr-TR"/>
    </w:rPr>
  </w:style>
  <w:style w:type="paragraph" w:styleId="T9">
    <w:name w:val="toc 9"/>
    <w:basedOn w:val="Normal"/>
    <w:next w:val="Normal"/>
    <w:autoRedefine/>
    <w:uiPriority w:val="39"/>
    <w:unhideWhenUsed/>
    <w:rsid w:val="009461D6"/>
    <w:pPr>
      <w:spacing w:after="100"/>
      <w:ind w:left="1760"/>
    </w:pPr>
    <w:rPr>
      <w:rFonts w:eastAsiaTheme="minorEastAsia"/>
      <w:noProof w:val="0"/>
      <w:lang w:val="tr-TR" w:eastAsia="tr-TR"/>
    </w:rPr>
  </w:style>
  <w:style w:type="character" w:customStyle="1" w:styleId="UnresolvedMention">
    <w:name w:val="Unresolved Mention"/>
    <w:basedOn w:val="VarsaylanParagrafYazTipi"/>
    <w:uiPriority w:val="99"/>
    <w:semiHidden/>
    <w:unhideWhenUsed/>
    <w:rsid w:val="009461D6"/>
    <w:rPr>
      <w:color w:val="605E5C"/>
      <w:shd w:val="clear" w:color="auto" w:fill="E1DFDD"/>
    </w:rPr>
  </w:style>
  <w:style w:type="paragraph" w:styleId="ekillerTablosu">
    <w:name w:val="table of figures"/>
    <w:basedOn w:val="Normal"/>
    <w:next w:val="Normal"/>
    <w:uiPriority w:val="99"/>
    <w:unhideWhenUsed/>
    <w:rsid w:val="0055522A"/>
    <w:pPr>
      <w:spacing w:after="0"/>
    </w:pPr>
  </w:style>
  <w:style w:type="paragraph" w:styleId="BalonMetni">
    <w:name w:val="Balloon Text"/>
    <w:basedOn w:val="Normal"/>
    <w:link w:val="BalonMetniChar"/>
    <w:uiPriority w:val="99"/>
    <w:semiHidden/>
    <w:unhideWhenUsed/>
    <w:rsid w:val="00D03F3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03F3E"/>
    <w:rPr>
      <w:rFonts w:ascii="Tahoma" w:hAnsi="Tahoma" w:cs="Tahoma"/>
      <w:noProof/>
      <w:sz w:val="16"/>
      <w:szCs w:val="16"/>
    </w:rPr>
  </w:style>
  <w:style w:type="paragraph" w:styleId="DipnotMetni">
    <w:name w:val="footnote text"/>
    <w:basedOn w:val="Normal"/>
    <w:link w:val="DipnotMetniChar"/>
    <w:semiHidden/>
    <w:unhideWhenUsed/>
    <w:rsid w:val="00E55E97"/>
    <w:pPr>
      <w:spacing w:after="0" w:line="240" w:lineRule="auto"/>
    </w:pPr>
    <w:rPr>
      <w:rFonts w:eastAsia="Calibri" w:cs="Times New Roman"/>
      <w:noProof w:val="0"/>
      <w:sz w:val="20"/>
      <w:szCs w:val="20"/>
      <w:lang w:val="tr-TR"/>
    </w:rPr>
  </w:style>
  <w:style w:type="character" w:customStyle="1" w:styleId="DipnotMetniChar">
    <w:name w:val="Dipnot Metni Char"/>
    <w:basedOn w:val="VarsaylanParagrafYazTipi"/>
    <w:link w:val="DipnotMetni"/>
    <w:semiHidden/>
    <w:rsid w:val="00E55E97"/>
    <w:rPr>
      <w:rFonts w:eastAsia="Calibri" w:cs="Times New Roman"/>
      <w:sz w:val="20"/>
      <w:szCs w:val="20"/>
      <w:lang w:val="tr-TR"/>
    </w:rPr>
  </w:style>
  <w:style w:type="character" w:customStyle="1" w:styleId="AltbilgiChar1">
    <w:name w:val="Altbilgi Char1"/>
    <w:basedOn w:val="VarsaylanParagrafYazTipi"/>
    <w:uiPriority w:val="99"/>
    <w:rsid w:val="005F5E6A"/>
    <w:rPr>
      <w:rFonts w:ascii="Calibri" w:eastAsia="Calibri" w:hAnsi="Calibri" w:cs="Times New Roman"/>
    </w:rPr>
  </w:style>
  <w:style w:type="paragraph" w:customStyle="1" w:styleId="metin">
    <w:name w:val="metin"/>
    <w:basedOn w:val="Normal"/>
    <w:rsid w:val="005F5E6A"/>
    <w:pPr>
      <w:spacing w:before="100" w:beforeAutospacing="1" w:after="100" w:afterAutospacing="1" w:line="240" w:lineRule="auto"/>
    </w:pPr>
    <w:rPr>
      <w:rFonts w:ascii="Times New Roman" w:eastAsia="Times New Roman" w:hAnsi="Times New Roman" w:cs="Times New Roman"/>
      <w:noProof w:val="0"/>
      <w:sz w:val="24"/>
      <w:szCs w:val="24"/>
      <w:lang w:val="tr-TR" w:eastAsia="tr-TR"/>
    </w:rPr>
  </w:style>
  <w:style w:type="character" w:customStyle="1" w:styleId="tlid-translation">
    <w:name w:val="tlid-translation"/>
    <w:basedOn w:val="VarsaylanParagrafYazTipi"/>
    <w:rsid w:val="00D91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489342">
      <w:bodyDiv w:val="1"/>
      <w:marLeft w:val="0"/>
      <w:marRight w:val="0"/>
      <w:marTop w:val="0"/>
      <w:marBottom w:val="0"/>
      <w:divBdr>
        <w:top w:val="none" w:sz="0" w:space="0" w:color="auto"/>
        <w:left w:val="none" w:sz="0" w:space="0" w:color="auto"/>
        <w:bottom w:val="none" w:sz="0" w:space="0" w:color="auto"/>
        <w:right w:val="none" w:sz="0" w:space="0" w:color="auto"/>
      </w:divBdr>
    </w:div>
    <w:div w:id="344091833">
      <w:bodyDiv w:val="1"/>
      <w:marLeft w:val="0"/>
      <w:marRight w:val="0"/>
      <w:marTop w:val="0"/>
      <w:marBottom w:val="0"/>
      <w:divBdr>
        <w:top w:val="none" w:sz="0" w:space="0" w:color="auto"/>
        <w:left w:val="none" w:sz="0" w:space="0" w:color="auto"/>
        <w:bottom w:val="none" w:sz="0" w:space="0" w:color="auto"/>
        <w:right w:val="none" w:sz="0" w:space="0" w:color="auto"/>
      </w:divBdr>
    </w:div>
    <w:div w:id="400517763">
      <w:bodyDiv w:val="1"/>
      <w:marLeft w:val="0"/>
      <w:marRight w:val="0"/>
      <w:marTop w:val="0"/>
      <w:marBottom w:val="0"/>
      <w:divBdr>
        <w:top w:val="none" w:sz="0" w:space="0" w:color="auto"/>
        <w:left w:val="none" w:sz="0" w:space="0" w:color="auto"/>
        <w:bottom w:val="none" w:sz="0" w:space="0" w:color="auto"/>
        <w:right w:val="none" w:sz="0" w:space="0" w:color="auto"/>
      </w:divBdr>
    </w:div>
    <w:div w:id="549852582">
      <w:bodyDiv w:val="1"/>
      <w:marLeft w:val="0"/>
      <w:marRight w:val="0"/>
      <w:marTop w:val="0"/>
      <w:marBottom w:val="0"/>
      <w:divBdr>
        <w:top w:val="none" w:sz="0" w:space="0" w:color="auto"/>
        <w:left w:val="none" w:sz="0" w:space="0" w:color="auto"/>
        <w:bottom w:val="none" w:sz="0" w:space="0" w:color="auto"/>
        <w:right w:val="none" w:sz="0" w:space="0" w:color="auto"/>
      </w:divBdr>
    </w:div>
    <w:div w:id="578517696">
      <w:bodyDiv w:val="1"/>
      <w:marLeft w:val="0"/>
      <w:marRight w:val="0"/>
      <w:marTop w:val="0"/>
      <w:marBottom w:val="0"/>
      <w:divBdr>
        <w:top w:val="none" w:sz="0" w:space="0" w:color="auto"/>
        <w:left w:val="none" w:sz="0" w:space="0" w:color="auto"/>
        <w:bottom w:val="none" w:sz="0" w:space="0" w:color="auto"/>
        <w:right w:val="none" w:sz="0" w:space="0" w:color="auto"/>
      </w:divBdr>
    </w:div>
    <w:div w:id="670639685">
      <w:bodyDiv w:val="1"/>
      <w:marLeft w:val="0"/>
      <w:marRight w:val="0"/>
      <w:marTop w:val="0"/>
      <w:marBottom w:val="0"/>
      <w:divBdr>
        <w:top w:val="none" w:sz="0" w:space="0" w:color="auto"/>
        <w:left w:val="none" w:sz="0" w:space="0" w:color="auto"/>
        <w:bottom w:val="none" w:sz="0" w:space="0" w:color="auto"/>
        <w:right w:val="none" w:sz="0" w:space="0" w:color="auto"/>
      </w:divBdr>
    </w:div>
    <w:div w:id="676075465">
      <w:bodyDiv w:val="1"/>
      <w:marLeft w:val="0"/>
      <w:marRight w:val="0"/>
      <w:marTop w:val="0"/>
      <w:marBottom w:val="0"/>
      <w:divBdr>
        <w:top w:val="none" w:sz="0" w:space="0" w:color="auto"/>
        <w:left w:val="none" w:sz="0" w:space="0" w:color="auto"/>
        <w:bottom w:val="none" w:sz="0" w:space="0" w:color="auto"/>
        <w:right w:val="none" w:sz="0" w:space="0" w:color="auto"/>
      </w:divBdr>
    </w:div>
    <w:div w:id="794106480">
      <w:bodyDiv w:val="1"/>
      <w:marLeft w:val="0"/>
      <w:marRight w:val="0"/>
      <w:marTop w:val="0"/>
      <w:marBottom w:val="0"/>
      <w:divBdr>
        <w:top w:val="none" w:sz="0" w:space="0" w:color="auto"/>
        <w:left w:val="none" w:sz="0" w:space="0" w:color="auto"/>
        <w:bottom w:val="none" w:sz="0" w:space="0" w:color="auto"/>
        <w:right w:val="none" w:sz="0" w:space="0" w:color="auto"/>
      </w:divBdr>
      <w:divsChild>
        <w:div w:id="2128236992">
          <w:marLeft w:val="0"/>
          <w:marRight w:val="0"/>
          <w:marTop w:val="0"/>
          <w:marBottom w:val="0"/>
          <w:divBdr>
            <w:top w:val="none" w:sz="0" w:space="0" w:color="auto"/>
            <w:left w:val="none" w:sz="0" w:space="0" w:color="auto"/>
            <w:bottom w:val="none" w:sz="0" w:space="0" w:color="auto"/>
            <w:right w:val="none" w:sz="0" w:space="0" w:color="auto"/>
          </w:divBdr>
          <w:divsChild>
            <w:div w:id="2134978830">
              <w:marLeft w:val="0"/>
              <w:marRight w:val="0"/>
              <w:marTop w:val="0"/>
              <w:marBottom w:val="0"/>
              <w:divBdr>
                <w:top w:val="none" w:sz="0" w:space="0" w:color="auto"/>
                <w:left w:val="none" w:sz="0" w:space="0" w:color="auto"/>
                <w:bottom w:val="none" w:sz="0" w:space="0" w:color="auto"/>
                <w:right w:val="none" w:sz="0" w:space="0" w:color="auto"/>
              </w:divBdr>
              <w:divsChild>
                <w:div w:id="788478259">
                  <w:marLeft w:val="0"/>
                  <w:marRight w:val="0"/>
                  <w:marTop w:val="0"/>
                  <w:marBottom w:val="0"/>
                  <w:divBdr>
                    <w:top w:val="none" w:sz="0" w:space="0" w:color="auto"/>
                    <w:left w:val="none" w:sz="0" w:space="0" w:color="auto"/>
                    <w:bottom w:val="none" w:sz="0" w:space="0" w:color="auto"/>
                    <w:right w:val="none" w:sz="0" w:space="0" w:color="auto"/>
                  </w:divBdr>
                  <w:divsChild>
                    <w:div w:id="248657625">
                      <w:marLeft w:val="0"/>
                      <w:marRight w:val="0"/>
                      <w:marTop w:val="0"/>
                      <w:marBottom w:val="0"/>
                      <w:divBdr>
                        <w:top w:val="none" w:sz="0" w:space="0" w:color="auto"/>
                        <w:left w:val="none" w:sz="0" w:space="0" w:color="auto"/>
                        <w:bottom w:val="none" w:sz="0" w:space="0" w:color="auto"/>
                        <w:right w:val="none" w:sz="0" w:space="0" w:color="auto"/>
                      </w:divBdr>
                      <w:divsChild>
                        <w:div w:id="1296374569">
                          <w:marLeft w:val="0"/>
                          <w:marRight w:val="0"/>
                          <w:marTop w:val="0"/>
                          <w:marBottom w:val="0"/>
                          <w:divBdr>
                            <w:top w:val="none" w:sz="0" w:space="0" w:color="auto"/>
                            <w:left w:val="none" w:sz="0" w:space="0" w:color="auto"/>
                            <w:bottom w:val="none" w:sz="0" w:space="0" w:color="auto"/>
                            <w:right w:val="none" w:sz="0" w:space="0" w:color="auto"/>
                          </w:divBdr>
                          <w:divsChild>
                            <w:div w:id="532034045">
                              <w:marLeft w:val="0"/>
                              <w:marRight w:val="300"/>
                              <w:marTop w:val="180"/>
                              <w:marBottom w:val="0"/>
                              <w:divBdr>
                                <w:top w:val="none" w:sz="0" w:space="0" w:color="auto"/>
                                <w:left w:val="none" w:sz="0" w:space="0" w:color="auto"/>
                                <w:bottom w:val="none" w:sz="0" w:space="0" w:color="auto"/>
                                <w:right w:val="none" w:sz="0" w:space="0" w:color="auto"/>
                              </w:divBdr>
                              <w:divsChild>
                                <w:div w:id="75814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934893">
          <w:marLeft w:val="0"/>
          <w:marRight w:val="0"/>
          <w:marTop w:val="0"/>
          <w:marBottom w:val="0"/>
          <w:divBdr>
            <w:top w:val="none" w:sz="0" w:space="0" w:color="auto"/>
            <w:left w:val="none" w:sz="0" w:space="0" w:color="auto"/>
            <w:bottom w:val="none" w:sz="0" w:space="0" w:color="auto"/>
            <w:right w:val="none" w:sz="0" w:space="0" w:color="auto"/>
          </w:divBdr>
          <w:divsChild>
            <w:div w:id="2004701273">
              <w:marLeft w:val="0"/>
              <w:marRight w:val="0"/>
              <w:marTop w:val="0"/>
              <w:marBottom w:val="0"/>
              <w:divBdr>
                <w:top w:val="none" w:sz="0" w:space="0" w:color="auto"/>
                <w:left w:val="none" w:sz="0" w:space="0" w:color="auto"/>
                <w:bottom w:val="none" w:sz="0" w:space="0" w:color="auto"/>
                <w:right w:val="none" w:sz="0" w:space="0" w:color="auto"/>
              </w:divBdr>
              <w:divsChild>
                <w:div w:id="1754358464">
                  <w:marLeft w:val="0"/>
                  <w:marRight w:val="0"/>
                  <w:marTop w:val="0"/>
                  <w:marBottom w:val="0"/>
                  <w:divBdr>
                    <w:top w:val="none" w:sz="0" w:space="0" w:color="auto"/>
                    <w:left w:val="none" w:sz="0" w:space="0" w:color="auto"/>
                    <w:bottom w:val="none" w:sz="0" w:space="0" w:color="auto"/>
                    <w:right w:val="none" w:sz="0" w:space="0" w:color="auto"/>
                  </w:divBdr>
                  <w:divsChild>
                    <w:div w:id="344982114">
                      <w:marLeft w:val="0"/>
                      <w:marRight w:val="0"/>
                      <w:marTop w:val="0"/>
                      <w:marBottom w:val="0"/>
                      <w:divBdr>
                        <w:top w:val="none" w:sz="0" w:space="0" w:color="auto"/>
                        <w:left w:val="none" w:sz="0" w:space="0" w:color="auto"/>
                        <w:bottom w:val="none" w:sz="0" w:space="0" w:color="auto"/>
                        <w:right w:val="none" w:sz="0" w:space="0" w:color="auto"/>
                      </w:divBdr>
                      <w:divsChild>
                        <w:div w:id="110776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6607475">
      <w:bodyDiv w:val="1"/>
      <w:marLeft w:val="0"/>
      <w:marRight w:val="0"/>
      <w:marTop w:val="0"/>
      <w:marBottom w:val="0"/>
      <w:divBdr>
        <w:top w:val="none" w:sz="0" w:space="0" w:color="auto"/>
        <w:left w:val="none" w:sz="0" w:space="0" w:color="auto"/>
        <w:bottom w:val="none" w:sz="0" w:space="0" w:color="auto"/>
        <w:right w:val="none" w:sz="0" w:space="0" w:color="auto"/>
      </w:divBdr>
    </w:div>
    <w:div w:id="866798687">
      <w:bodyDiv w:val="1"/>
      <w:marLeft w:val="0"/>
      <w:marRight w:val="0"/>
      <w:marTop w:val="0"/>
      <w:marBottom w:val="0"/>
      <w:divBdr>
        <w:top w:val="none" w:sz="0" w:space="0" w:color="auto"/>
        <w:left w:val="none" w:sz="0" w:space="0" w:color="auto"/>
        <w:bottom w:val="none" w:sz="0" w:space="0" w:color="auto"/>
        <w:right w:val="none" w:sz="0" w:space="0" w:color="auto"/>
      </w:divBdr>
    </w:div>
    <w:div w:id="961036699">
      <w:bodyDiv w:val="1"/>
      <w:marLeft w:val="0"/>
      <w:marRight w:val="0"/>
      <w:marTop w:val="0"/>
      <w:marBottom w:val="0"/>
      <w:divBdr>
        <w:top w:val="none" w:sz="0" w:space="0" w:color="auto"/>
        <w:left w:val="none" w:sz="0" w:space="0" w:color="auto"/>
        <w:bottom w:val="none" w:sz="0" w:space="0" w:color="auto"/>
        <w:right w:val="none" w:sz="0" w:space="0" w:color="auto"/>
      </w:divBdr>
      <w:divsChild>
        <w:div w:id="635989567">
          <w:marLeft w:val="0"/>
          <w:marRight w:val="0"/>
          <w:marTop w:val="0"/>
          <w:marBottom w:val="0"/>
          <w:divBdr>
            <w:top w:val="none" w:sz="0" w:space="0" w:color="auto"/>
            <w:left w:val="none" w:sz="0" w:space="0" w:color="auto"/>
            <w:bottom w:val="none" w:sz="0" w:space="0" w:color="auto"/>
            <w:right w:val="none" w:sz="0" w:space="0" w:color="auto"/>
          </w:divBdr>
          <w:divsChild>
            <w:div w:id="2035573387">
              <w:marLeft w:val="0"/>
              <w:marRight w:val="0"/>
              <w:marTop w:val="0"/>
              <w:marBottom w:val="0"/>
              <w:divBdr>
                <w:top w:val="none" w:sz="0" w:space="0" w:color="auto"/>
                <w:left w:val="none" w:sz="0" w:space="0" w:color="auto"/>
                <w:bottom w:val="none" w:sz="0" w:space="0" w:color="auto"/>
                <w:right w:val="none" w:sz="0" w:space="0" w:color="auto"/>
              </w:divBdr>
              <w:divsChild>
                <w:div w:id="390616537">
                  <w:marLeft w:val="0"/>
                  <w:marRight w:val="0"/>
                  <w:marTop w:val="0"/>
                  <w:marBottom w:val="0"/>
                  <w:divBdr>
                    <w:top w:val="none" w:sz="0" w:space="0" w:color="auto"/>
                    <w:left w:val="none" w:sz="0" w:space="0" w:color="auto"/>
                    <w:bottom w:val="none" w:sz="0" w:space="0" w:color="auto"/>
                    <w:right w:val="none" w:sz="0" w:space="0" w:color="auto"/>
                  </w:divBdr>
                  <w:divsChild>
                    <w:div w:id="199561905">
                      <w:marLeft w:val="0"/>
                      <w:marRight w:val="0"/>
                      <w:marTop w:val="0"/>
                      <w:marBottom w:val="0"/>
                      <w:divBdr>
                        <w:top w:val="none" w:sz="0" w:space="0" w:color="auto"/>
                        <w:left w:val="none" w:sz="0" w:space="0" w:color="auto"/>
                        <w:bottom w:val="none" w:sz="0" w:space="0" w:color="auto"/>
                        <w:right w:val="none" w:sz="0" w:space="0" w:color="auto"/>
                      </w:divBdr>
                      <w:divsChild>
                        <w:div w:id="845486065">
                          <w:marLeft w:val="0"/>
                          <w:marRight w:val="0"/>
                          <w:marTop w:val="0"/>
                          <w:marBottom w:val="0"/>
                          <w:divBdr>
                            <w:top w:val="none" w:sz="0" w:space="0" w:color="auto"/>
                            <w:left w:val="none" w:sz="0" w:space="0" w:color="auto"/>
                            <w:bottom w:val="none" w:sz="0" w:space="0" w:color="auto"/>
                            <w:right w:val="none" w:sz="0" w:space="0" w:color="auto"/>
                          </w:divBdr>
                          <w:divsChild>
                            <w:div w:id="1994219531">
                              <w:marLeft w:val="0"/>
                              <w:marRight w:val="300"/>
                              <w:marTop w:val="180"/>
                              <w:marBottom w:val="0"/>
                              <w:divBdr>
                                <w:top w:val="none" w:sz="0" w:space="0" w:color="auto"/>
                                <w:left w:val="none" w:sz="0" w:space="0" w:color="auto"/>
                                <w:bottom w:val="none" w:sz="0" w:space="0" w:color="auto"/>
                                <w:right w:val="none" w:sz="0" w:space="0" w:color="auto"/>
                              </w:divBdr>
                              <w:divsChild>
                                <w:div w:id="73585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178478">
          <w:marLeft w:val="0"/>
          <w:marRight w:val="0"/>
          <w:marTop w:val="0"/>
          <w:marBottom w:val="0"/>
          <w:divBdr>
            <w:top w:val="none" w:sz="0" w:space="0" w:color="auto"/>
            <w:left w:val="none" w:sz="0" w:space="0" w:color="auto"/>
            <w:bottom w:val="none" w:sz="0" w:space="0" w:color="auto"/>
            <w:right w:val="none" w:sz="0" w:space="0" w:color="auto"/>
          </w:divBdr>
          <w:divsChild>
            <w:div w:id="651834048">
              <w:marLeft w:val="0"/>
              <w:marRight w:val="0"/>
              <w:marTop w:val="0"/>
              <w:marBottom w:val="0"/>
              <w:divBdr>
                <w:top w:val="none" w:sz="0" w:space="0" w:color="auto"/>
                <w:left w:val="none" w:sz="0" w:space="0" w:color="auto"/>
                <w:bottom w:val="none" w:sz="0" w:space="0" w:color="auto"/>
                <w:right w:val="none" w:sz="0" w:space="0" w:color="auto"/>
              </w:divBdr>
              <w:divsChild>
                <w:div w:id="1504274680">
                  <w:marLeft w:val="0"/>
                  <w:marRight w:val="0"/>
                  <w:marTop w:val="0"/>
                  <w:marBottom w:val="0"/>
                  <w:divBdr>
                    <w:top w:val="none" w:sz="0" w:space="0" w:color="auto"/>
                    <w:left w:val="none" w:sz="0" w:space="0" w:color="auto"/>
                    <w:bottom w:val="none" w:sz="0" w:space="0" w:color="auto"/>
                    <w:right w:val="none" w:sz="0" w:space="0" w:color="auto"/>
                  </w:divBdr>
                  <w:divsChild>
                    <w:div w:id="1657759346">
                      <w:marLeft w:val="0"/>
                      <w:marRight w:val="0"/>
                      <w:marTop w:val="0"/>
                      <w:marBottom w:val="0"/>
                      <w:divBdr>
                        <w:top w:val="none" w:sz="0" w:space="0" w:color="auto"/>
                        <w:left w:val="none" w:sz="0" w:space="0" w:color="auto"/>
                        <w:bottom w:val="none" w:sz="0" w:space="0" w:color="auto"/>
                        <w:right w:val="none" w:sz="0" w:space="0" w:color="auto"/>
                      </w:divBdr>
                      <w:divsChild>
                        <w:div w:id="5887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043081">
      <w:bodyDiv w:val="1"/>
      <w:marLeft w:val="0"/>
      <w:marRight w:val="0"/>
      <w:marTop w:val="0"/>
      <w:marBottom w:val="0"/>
      <w:divBdr>
        <w:top w:val="none" w:sz="0" w:space="0" w:color="auto"/>
        <w:left w:val="none" w:sz="0" w:space="0" w:color="auto"/>
        <w:bottom w:val="none" w:sz="0" w:space="0" w:color="auto"/>
        <w:right w:val="none" w:sz="0" w:space="0" w:color="auto"/>
      </w:divBdr>
    </w:div>
    <w:div w:id="996420629">
      <w:bodyDiv w:val="1"/>
      <w:marLeft w:val="0"/>
      <w:marRight w:val="0"/>
      <w:marTop w:val="0"/>
      <w:marBottom w:val="0"/>
      <w:divBdr>
        <w:top w:val="none" w:sz="0" w:space="0" w:color="auto"/>
        <w:left w:val="none" w:sz="0" w:space="0" w:color="auto"/>
        <w:bottom w:val="none" w:sz="0" w:space="0" w:color="auto"/>
        <w:right w:val="none" w:sz="0" w:space="0" w:color="auto"/>
      </w:divBdr>
    </w:div>
    <w:div w:id="1061253953">
      <w:bodyDiv w:val="1"/>
      <w:marLeft w:val="0"/>
      <w:marRight w:val="0"/>
      <w:marTop w:val="0"/>
      <w:marBottom w:val="0"/>
      <w:divBdr>
        <w:top w:val="none" w:sz="0" w:space="0" w:color="auto"/>
        <w:left w:val="none" w:sz="0" w:space="0" w:color="auto"/>
        <w:bottom w:val="none" w:sz="0" w:space="0" w:color="auto"/>
        <w:right w:val="none" w:sz="0" w:space="0" w:color="auto"/>
      </w:divBdr>
    </w:div>
    <w:div w:id="1124621348">
      <w:bodyDiv w:val="1"/>
      <w:marLeft w:val="0"/>
      <w:marRight w:val="0"/>
      <w:marTop w:val="0"/>
      <w:marBottom w:val="0"/>
      <w:divBdr>
        <w:top w:val="none" w:sz="0" w:space="0" w:color="auto"/>
        <w:left w:val="none" w:sz="0" w:space="0" w:color="auto"/>
        <w:bottom w:val="none" w:sz="0" w:space="0" w:color="auto"/>
        <w:right w:val="none" w:sz="0" w:space="0" w:color="auto"/>
      </w:divBdr>
    </w:div>
    <w:div w:id="1210066386">
      <w:bodyDiv w:val="1"/>
      <w:marLeft w:val="0"/>
      <w:marRight w:val="0"/>
      <w:marTop w:val="0"/>
      <w:marBottom w:val="0"/>
      <w:divBdr>
        <w:top w:val="none" w:sz="0" w:space="0" w:color="auto"/>
        <w:left w:val="none" w:sz="0" w:space="0" w:color="auto"/>
        <w:bottom w:val="none" w:sz="0" w:space="0" w:color="auto"/>
        <w:right w:val="none" w:sz="0" w:space="0" w:color="auto"/>
      </w:divBdr>
    </w:div>
    <w:div w:id="1275792120">
      <w:bodyDiv w:val="1"/>
      <w:marLeft w:val="0"/>
      <w:marRight w:val="0"/>
      <w:marTop w:val="0"/>
      <w:marBottom w:val="0"/>
      <w:divBdr>
        <w:top w:val="none" w:sz="0" w:space="0" w:color="auto"/>
        <w:left w:val="none" w:sz="0" w:space="0" w:color="auto"/>
        <w:bottom w:val="none" w:sz="0" w:space="0" w:color="auto"/>
        <w:right w:val="none" w:sz="0" w:space="0" w:color="auto"/>
      </w:divBdr>
    </w:div>
    <w:div w:id="1541820751">
      <w:bodyDiv w:val="1"/>
      <w:marLeft w:val="0"/>
      <w:marRight w:val="0"/>
      <w:marTop w:val="0"/>
      <w:marBottom w:val="0"/>
      <w:divBdr>
        <w:top w:val="none" w:sz="0" w:space="0" w:color="auto"/>
        <w:left w:val="none" w:sz="0" w:space="0" w:color="auto"/>
        <w:bottom w:val="none" w:sz="0" w:space="0" w:color="auto"/>
        <w:right w:val="none" w:sz="0" w:space="0" w:color="auto"/>
      </w:divBdr>
    </w:div>
    <w:div w:id="1778984562">
      <w:bodyDiv w:val="1"/>
      <w:marLeft w:val="0"/>
      <w:marRight w:val="0"/>
      <w:marTop w:val="0"/>
      <w:marBottom w:val="0"/>
      <w:divBdr>
        <w:top w:val="none" w:sz="0" w:space="0" w:color="auto"/>
        <w:left w:val="none" w:sz="0" w:space="0" w:color="auto"/>
        <w:bottom w:val="none" w:sz="0" w:space="0" w:color="auto"/>
        <w:right w:val="none" w:sz="0" w:space="0" w:color="auto"/>
      </w:divBdr>
      <w:divsChild>
        <w:div w:id="1885211398">
          <w:marLeft w:val="0"/>
          <w:marRight w:val="0"/>
          <w:marTop w:val="0"/>
          <w:marBottom w:val="0"/>
          <w:divBdr>
            <w:top w:val="none" w:sz="0" w:space="0" w:color="auto"/>
            <w:left w:val="none" w:sz="0" w:space="0" w:color="auto"/>
            <w:bottom w:val="none" w:sz="0" w:space="0" w:color="auto"/>
            <w:right w:val="none" w:sz="0" w:space="0" w:color="auto"/>
          </w:divBdr>
          <w:divsChild>
            <w:div w:id="1982271001">
              <w:marLeft w:val="0"/>
              <w:marRight w:val="0"/>
              <w:marTop w:val="0"/>
              <w:marBottom w:val="0"/>
              <w:divBdr>
                <w:top w:val="none" w:sz="0" w:space="0" w:color="auto"/>
                <w:left w:val="none" w:sz="0" w:space="0" w:color="auto"/>
                <w:bottom w:val="none" w:sz="0" w:space="0" w:color="auto"/>
                <w:right w:val="none" w:sz="0" w:space="0" w:color="auto"/>
              </w:divBdr>
              <w:divsChild>
                <w:div w:id="544222414">
                  <w:marLeft w:val="0"/>
                  <w:marRight w:val="0"/>
                  <w:marTop w:val="0"/>
                  <w:marBottom w:val="0"/>
                  <w:divBdr>
                    <w:top w:val="none" w:sz="0" w:space="0" w:color="auto"/>
                    <w:left w:val="none" w:sz="0" w:space="0" w:color="auto"/>
                    <w:bottom w:val="none" w:sz="0" w:space="0" w:color="auto"/>
                    <w:right w:val="none" w:sz="0" w:space="0" w:color="auto"/>
                  </w:divBdr>
                  <w:divsChild>
                    <w:div w:id="1906062711">
                      <w:marLeft w:val="0"/>
                      <w:marRight w:val="0"/>
                      <w:marTop w:val="0"/>
                      <w:marBottom w:val="0"/>
                      <w:divBdr>
                        <w:top w:val="none" w:sz="0" w:space="0" w:color="auto"/>
                        <w:left w:val="none" w:sz="0" w:space="0" w:color="auto"/>
                        <w:bottom w:val="none" w:sz="0" w:space="0" w:color="auto"/>
                        <w:right w:val="none" w:sz="0" w:space="0" w:color="auto"/>
                      </w:divBdr>
                      <w:divsChild>
                        <w:div w:id="1385183015">
                          <w:marLeft w:val="0"/>
                          <w:marRight w:val="0"/>
                          <w:marTop w:val="0"/>
                          <w:marBottom w:val="0"/>
                          <w:divBdr>
                            <w:top w:val="none" w:sz="0" w:space="0" w:color="auto"/>
                            <w:left w:val="none" w:sz="0" w:space="0" w:color="auto"/>
                            <w:bottom w:val="none" w:sz="0" w:space="0" w:color="auto"/>
                            <w:right w:val="none" w:sz="0" w:space="0" w:color="auto"/>
                          </w:divBdr>
                          <w:divsChild>
                            <w:div w:id="68894009">
                              <w:marLeft w:val="0"/>
                              <w:marRight w:val="0"/>
                              <w:marTop w:val="0"/>
                              <w:marBottom w:val="0"/>
                              <w:divBdr>
                                <w:top w:val="none" w:sz="0" w:space="0" w:color="auto"/>
                                <w:left w:val="none" w:sz="0" w:space="0" w:color="auto"/>
                                <w:bottom w:val="none" w:sz="0" w:space="0" w:color="auto"/>
                                <w:right w:val="none" w:sz="0" w:space="0" w:color="auto"/>
                              </w:divBdr>
                              <w:divsChild>
                                <w:div w:id="1072002520">
                                  <w:marLeft w:val="0"/>
                                  <w:marRight w:val="0"/>
                                  <w:marTop w:val="0"/>
                                  <w:marBottom w:val="0"/>
                                  <w:divBdr>
                                    <w:top w:val="none" w:sz="0" w:space="0" w:color="auto"/>
                                    <w:left w:val="none" w:sz="0" w:space="0" w:color="auto"/>
                                    <w:bottom w:val="none" w:sz="0" w:space="0" w:color="auto"/>
                                    <w:right w:val="none" w:sz="0" w:space="0" w:color="auto"/>
                                  </w:divBdr>
                                  <w:divsChild>
                                    <w:div w:id="513963171">
                                      <w:marLeft w:val="0"/>
                                      <w:marRight w:val="0"/>
                                      <w:marTop w:val="0"/>
                                      <w:marBottom w:val="0"/>
                                      <w:divBdr>
                                        <w:top w:val="none" w:sz="0" w:space="0" w:color="auto"/>
                                        <w:left w:val="none" w:sz="0" w:space="0" w:color="auto"/>
                                        <w:bottom w:val="none" w:sz="0" w:space="0" w:color="auto"/>
                                        <w:right w:val="none" w:sz="0" w:space="0" w:color="auto"/>
                                      </w:divBdr>
                                      <w:divsChild>
                                        <w:div w:id="407309710">
                                          <w:marLeft w:val="0"/>
                                          <w:marRight w:val="0"/>
                                          <w:marTop w:val="0"/>
                                          <w:marBottom w:val="495"/>
                                          <w:divBdr>
                                            <w:top w:val="none" w:sz="0" w:space="0" w:color="auto"/>
                                            <w:left w:val="none" w:sz="0" w:space="0" w:color="auto"/>
                                            <w:bottom w:val="none" w:sz="0" w:space="0" w:color="auto"/>
                                            <w:right w:val="none" w:sz="0" w:space="0" w:color="auto"/>
                                          </w:divBdr>
                                          <w:divsChild>
                                            <w:div w:id="190417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3785764">
      <w:bodyDiv w:val="1"/>
      <w:marLeft w:val="0"/>
      <w:marRight w:val="0"/>
      <w:marTop w:val="0"/>
      <w:marBottom w:val="0"/>
      <w:divBdr>
        <w:top w:val="none" w:sz="0" w:space="0" w:color="auto"/>
        <w:left w:val="none" w:sz="0" w:space="0" w:color="auto"/>
        <w:bottom w:val="none" w:sz="0" w:space="0" w:color="auto"/>
        <w:right w:val="none" w:sz="0" w:space="0" w:color="auto"/>
      </w:divBdr>
    </w:div>
    <w:div w:id="1817409570">
      <w:bodyDiv w:val="1"/>
      <w:marLeft w:val="0"/>
      <w:marRight w:val="0"/>
      <w:marTop w:val="0"/>
      <w:marBottom w:val="0"/>
      <w:divBdr>
        <w:top w:val="none" w:sz="0" w:space="0" w:color="auto"/>
        <w:left w:val="none" w:sz="0" w:space="0" w:color="auto"/>
        <w:bottom w:val="none" w:sz="0" w:space="0" w:color="auto"/>
        <w:right w:val="none" w:sz="0" w:space="0" w:color="auto"/>
      </w:divBdr>
    </w:div>
    <w:div w:id="1879120616">
      <w:bodyDiv w:val="1"/>
      <w:marLeft w:val="0"/>
      <w:marRight w:val="0"/>
      <w:marTop w:val="0"/>
      <w:marBottom w:val="0"/>
      <w:divBdr>
        <w:top w:val="none" w:sz="0" w:space="0" w:color="auto"/>
        <w:left w:val="none" w:sz="0" w:space="0" w:color="auto"/>
        <w:bottom w:val="none" w:sz="0" w:space="0" w:color="auto"/>
        <w:right w:val="none" w:sz="0" w:space="0" w:color="auto"/>
      </w:divBdr>
    </w:div>
    <w:div w:id="1960605208">
      <w:bodyDiv w:val="1"/>
      <w:marLeft w:val="0"/>
      <w:marRight w:val="0"/>
      <w:marTop w:val="0"/>
      <w:marBottom w:val="0"/>
      <w:divBdr>
        <w:top w:val="none" w:sz="0" w:space="0" w:color="auto"/>
        <w:left w:val="none" w:sz="0" w:space="0" w:color="auto"/>
        <w:bottom w:val="none" w:sz="0" w:space="0" w:color="auto"/>
        <w:right w:val="none" w:sz="0" w:space="0" w:color="auto"/>
      </w:divBdr>
    </w:div>
    <w:div w:id="20117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kucukcapraz\Desktop\&#246;zel\2017%20Faaliyet%20Raporu%20Dosyas&#305;\gruplardan%20gelen\kurul%20kararlar&#305;%20verisi%20.xlsx" TargetMode="External"/><Relationship Id="rId2" Type="http://schemas.openxmlformats.org/officeDocument/2006/relationships/image" Target="../media/image1.jpeg"/><Relationship Id="rId1" Type="http://schemas.openxmlformats.org/officeDocument/2006/relationships/themeOverride" Target="../theme/themeOverrid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spPr>
        <a:pattFill prst="pct5">
          <a:fgClr>
            <a:schemeClr val="accent1"/>
          </a:fgClr>
          <a:bgClr>
            <a:schemeClr val="bg1"/>
          </a:bgClr>
        </a:pattFill>
      </c:spPr>
    </c:floor>
    <c:sideWall>
      <c:thickness val="0"/>
    </c:sideWall>
    <c:backWall>
      <c:thickness val="0"/>
    </c:backWall>
    <c:plotArea>
      <c:layout>
        <c:manualLayout>
          <c:layoutTarget val="inner"/>
          <c:xMode val="edge"/>
          <c:yMode val="edge"/>
          <c:x val="8.8355906731170983E-2"/>
          <c:y val="0.12838306314634781"/>
          <c:w val="0.88531811572333918"/>
          <c:h val="0.69449522946474074"/>
        </c:manualLayout>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Sayfa2!$L$2:$L$12</c:f>
              <c:strCache>
                <c:ptCount val="11"/>
                <c:pt idx="0">
                  <c:v>DDB</c:v>
                </c:pt>
                <c:pt idx="1">
                  <c:v>KDB</c:v>
                </c:pt>
                <c:pt idx="2">
                  <c:v>EPD</c:v>
                </c:pt>
                <c:pt idx="3">
                  <c:v>TDB</c:v>
                </c:pt>
                <c:pt idx="4">
                  <c:v>PPD</c:v>
                </c:pt>
                <c:pt idx="5">
                  <c:v>DPD</c:v>
                </c:pt>
                <c:pt idx="6">
                  <c:v>LPG</c:v>
                </c:pt>
                <c:pt idx="7">
                  <c:v>İKM</c:v>
                </c:pt>
                <c:pt idx="8">
                  <c:v>SGD</c:v>
                </c:pt>
                <c:pt idx="9">
                  <c:v>HDB</c:v>
                </c:pt>
                <c:pt idx="10">
                  <c:v>KHM</c:v>
                </c:pt>
              </c:strCache>
            </c:strRef>
          </c:cat>
          <c:val>
            <c:numRef>
              <c:f>Sayfa2!$M$2:$M$12</c:f>
              <c:numCache>
                <c:formatCode>#,##0</c:formatCode>
                <c:ptCount val="11"/>
                <c:pt idx="0">
                  <c:v>3044</c:v>
                </c:pt>
                <c:pt idx="1">
                  <c:v>2100</c:v>
                </c:pt>
                <c:pt idx="2">
                  <c:v>2049</c:v>
                </c:pt>
                <c:pt idx="3" formatCode="General">
                  <c:v>546</c:v>
                </c:pt>
                <c:pt idx="4" formatCode="General">
                  <c:v>295</c:v>
                </c:pt>
                <c:pt idx="5" formatCode="General">
                  <c:v>183</c:v>
                </c:pt>
                <c:pt idx="6" formatCode="General">
                  <c:v>86</c:v>
                </c:pt>
                <c:pt idx="7" formatCode="General">
                  <c:v>38</c:v>
                </c:pt>
                <c:pt idx="8">
                  <c:v>24</c:v>
                </c:pt>
                <c:pt idx="9">
                  <c:v>1</c:v>
                </c:pt>
                <c:pt idx="10">
                  <c:v>0</c:v>
                </c:pt>
              </c:numCache>
            </c:numRef>
          </c:val>
          <c:extLst xmlns:c16r2="http://schemas.microsoft.com/office/drawing/2015/06/chart">
            <c:ext xmlns:c16="http://schemas.microsoft.com/office/drawing/2014/chart" uri="{C3380CC4-5D6E-409C-BE32-E72D297353CC}">
              <c16:uniqueId val="{00000000-1987-40E0-A755-053A620FE426}"/>
            </c:ext>
          </c:extLst>
        </c:ser>
        <c:dLbls>
          <c:showLegendKey val="0"/>
          <c:showVal val="0"/>
          <c:showCatName val="0"/>
          <c:showSerName val="0"/>
          <c:showPercent val="0"/>
          <c:showBubbleSize val="0"/>
        </c:dLbls>
        <c:gapWidth val="150"/>
        <c:shape val="box"/>
        <c:axId val="147803136"/>
        <c:axId val="147813120"/>
        <c:axId val="0"/>
      </c:bar3DChart>
      <c:catAx>
        <c:axId val="147803136"/>
        <c:scaling>
          <c:orientation val="minMax"/>
        </c:scaling>
        <c:delete val="0"/>
        <c:axPos val="b"/>
        <c:numFmt formatCode="General" sourceLinked="0"/>
        <c:majorTickMark val="out"/>
        <c:minorTickMark val="none"/>
        <c:tickLblPos val="nextTo"/>
        <c:crossAx val="147813120"/>
        <c:crosses val="autoZero"/>
        <c:auto val="1"/>
        <c:lblAlgn val="ctr"/>
        <c:lblOffset val="100"/>
        <c:noMultiLvlLbl val="0"/>
      </c:catAx>
      <c:valAx>
        <c:axId val="147813120"/>
        <c:scaling>
          <c:orientation val="minMax"/>
        </c:scaling>
        <c:delete val="0"/>
        <c:axPos val="l"/>
        <c:majorGridlines/>
        <c:numFmt formatCode="#,##0" sourceLinked="1"/>
        <c:majorTickMark val="out"/>
        <c:minorTickMark val="none"/>
        <c:tickLblPos val="nextTo"/>
        <c:crossAx val="147803136"/>
        <c:crosses val="autoZero"/>
        <c:crossBetween val="between"/>
      </c:valAx>
      <c:spPr>
        <a:blipFill>
          <a:blip xmlns:r="http://schemas.openxmlformats.org/officeDocument/2006/relationships" r:embed="rId2"/>
          <a:tile tx="0" ty="0" sx="100000" sy="100000" flip="none" algn="tl"/>
        </a:blipFill>
      </c:spPr>
    </c:plotArea>
    <c:plotVisOnly val="1"/>
    <c:dispBlanksAs val="gap"/>
    <c:showDLblsOverMax val="0"/>
  </c:chart>
  <c:txPr>
    <a:bodyPr/>
    <a:lstStyle/>
    <a:p>
      <a:pPr>
        <a:defRPr>
          <a:solidFill>
            <a:schemeClr val="tx1">
              <a:lumMod val="95000"/>
              <a:lumOff val="5000"/>
            </a:schemeClr>
          </a:solidFill>
        </a:defRPr>
      </a:pPr>
      <a:endParaRPr lang="tr-TR"/>
    </a:p>
  </c:txPr>
  <c:externalData r:id="rId3">
    <c:autoUpdate val="0"/>
  </c:externalData>
  <c:userShapes r:id="rId4"/>
</c:chartSpace>
</file>

<file path=word/drawings/drawing1.xml><?xml version="1.0" encoding="utf-8"?>
<c:userShapes xmlns:c="http://schemas.openxmlformats.org/drawingml/2006/chart">
  <cdr:relSizeAnchor xmlns:cdr="http://schemas.openxmlformats.org/drawingml/2006/chartDrawing">
    <cdr:from>
      <cdr:x>0.40797</cdr:x>
      <cdr:y>0.9685</cdr:y>
    </cdr:from>
    <cdr:to>
      <cdr:x>0.83118</cdr:x>
      <cdr:y>0.99475</cdr:y>
    </cdr:to>
    <cdr:sp macro="" textlink="">
      <cdr:nvSpPr>
        <cdr:cNvPr id="2" name="Metin kutusu 1"/>
        <cdr:cNvSpPr txBox="1"/>
      </cdr:nvSpPr>
      <cdr:spPr>
        <a:xfrm xmlns:a="http://schemas.openxmlformats.org/drawingml/2006/main">
          <a:off x="3314700" y="3514726"/>
          <a:ext cx="3438525" cy="95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0.37166</cdr:x>
      <cdr:y>0.91762</cdr:y>
    </cdr:from>
    <cdr:to>
      <cdr:x>0.53891</cdr:x>
      <cdr:y>0.97483</cdr:y>
    </cdr:to>
    <cdr:sp macro="" textlink="">
      <cdr:nvSpPr>
        <cdr:cNvPr id="3" name="Metin kutusu 2"/>
        <cdr:cNvSpPr txBox="1"/>
      </cdr:nvSpPr>
      <cdr:spPr>
        <a:xfrm xmlns:a="http://schemas.openxmlformats.org/drawingml/2006/main">
          <a:off x="3048000" y="3819526"/>
          <a:ext cx="1371600"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0.01045</cdr:x>
      <cdr:y>0.24256</cdr:y>
    </cdr:from>
    <cdr:to>
      <cdr:x>0.03949</cdr:x>
      <cdr:y>0.84211</cdr:y>
    </cdr:to>
    <cdr:sp macro="" textlink="">
      <cdr:nvSpPr>
        <cdr:cNvPr id="4" name="Metin kutusu 3"/>
        <cdr:cNvSpPr txBox="1"/>
      </cdr:nvSpPr>
      <cdr:spPr>
        <a:xfrm xmlns:a="http://schemas.openxmlformats.org/drawingml/2006/main">
          <a:off x="85725" y="1009651"/>
          <a:ext cx="238125" cy="2495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0.00929</cdr:x>
      <cdr:y>0.1167</cdr:y>
    </cdr:from>
    <cdr:to>
      <cdr:x>0.0453</cdr:x>
      <cdr:y>0.87872</cdr:y>
    </cdr:to>
    <cdr:sp macro="" textlink="">
      <cdr:nvSpPr>
        <cdr:cNvPr id="5" name="Metin kutusu 4"/>
        <cdr:cNvSpPr txBox="1"/>
      </cdr:nvSpPr>
      <cdr:spPr>
        <a:xfrm xmlns:a="http://schemas.openxmlformats.org/drawingml/2006/main">
          <a:off x="76200" y="485775"/>
          <a:ext cx="295275" cy="31718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userShape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B3A9E-0B0D-4AAA-AE80-62917E7A4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5846</TotalTime>
  <Pages>1</Pages>
  <Words>40383</Words>
  <Characters>230185</Characters>
  <Application>Microsoft Office Word</Application>
  <DocSecurity>0</DocSecurity>
  <Lines>1918</Lines>
  <Paragraphs>540</Paragraphs>
  <ScaleCrop>false</ScaleCrop>
  <HeadingPairs>
    <vt:vector size="2" baseType="variant">
      <vt:variant>
        <vt:lpstr>Konu Başlığı</vt:lpstr>
      </vt:variant>
      <vt:variant>
        <vt:i4>1</vt:i4>
      </vt:variant>
    </vt:vector>
  </HeadingPairs>
  <TitlesOfParts>
    <vt:vector size="1" baseType="lpstr">
      <vt:lpstr>ENERGY MARKET REGULATORY AUTHORITY</vt:lpstr>
    </vt:vector>
  </TitlesOfParts>
  <Company>EPDK</Company>
  <LinksUpToDate>false</LinksUpToDate>
  <CharactersWithSpaces>270028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MARKET REGULATORY AUTHORITY</dc:title>
  <dc:subject>2018 ACTIVITY REPORT</dc:subject>
  <dc:creator>Use</dc:creator>
  <cp:lastModifiedBy>Bahar AKYEL</cp:lastModifiedBy>
  <cp:revision>13</cp:revision>
  <dcterms:created xsi:type="dcterms:W3CDTF">2019-07-04T13:07:00Z</dcterms:created>
  <dcterms:modified xsi:type="dcterms:W3CDTF">2019-07-24T12:44:00Z</dcterms:modified>
</cp:coreProperties>
</file>